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09" w:rsidRDefault="004D2099" w:rsidP="006B4C6B">
      <w:pPr>
        <w:spacing w:before="20" w:after="20" w:line="240" w:lineRule="atLeas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Accounting statements</w:t>
      </w:r>
      <w:r w:rsidR="00E522CE" w:rsidRPr="0017501A">
        <w:rPr>
          <w:b/>
          <w:sz w:val="28"/>
          <w:szCs w:val="28"/>
        </w:rPr>
        <w:t xml:space="preserve"> 201</w:t>
      </w:r>
      <w:r w:rsidR="00580007">
        <w:rPr>
          <w:b/>
          <w:sz w:val="28"/>
          <w:szCs w:val="28"/>
        </w:rPr>
        <w:t>9</w:t>
      </w:r>
      <w:r w:rsidR="00E522CE" w:rsidRPr="0017501A">
        <w:rPr>
          <w:b/>
          <w:sz w:val="28"/>
          <w:szCs w:val="28"/>
        </w:rPr>
        <w:t>-</w:t>
      </w:r>
      <w:r w:rsidR="00580007">
        <w:rPr>
          <w:b/>
          <w:sz w:val="28"/>
          <w:szCs w:val="28"/>
        </w:rPr>
        <w:t>20</w:t>
      </w:r>
      <w:r w:rsidR="00E522CE" w:rsidRPr="0017501A">
        <w:rPr>
          <w:b/>
          <w:sz w:val="28"/>
          <w:szCs w:val="28"/>
        </w:rPr>
        <w:t xml:space="preserve"> for:</w:t>
      </w:r>
    </w:p>
    <w:p w:rsidR="00490667" w:rsidRDefault="00490667" w:rsidP="00490667"/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930"/>
      </w:tblGrid>
      <w:tr w:rsidR="00490667" w:rsidRPr="00490667" w:rsidTr="00490667">
        <w:trPr>
          <w:trHeight w:val="112"/>
        </w:trPr>
        <w:tc>
          <w:tcPr>
            <w:tcW w:w="1668" w:type="dxa"/>
            <w:tcBorders>
              <w:right w:val="single" w:sz="8" w:space="0" w:color="BFBFBF"/>
            </w:tcBorders>
            <w:shd w:val="clear" w:color="auto" w:fill="auto"/>
          </w:tcPr>
          <w:p w:rsidR="00490667" w:rsidRPr="00490667" w:rsidRDefault="00490667" w:rsidP="00490667">
            <w:pPr>
              <w:pStyle w:val="Heading3"/>
              <w:spacing w:before="60" w:after="60" w:line="240" w:lineRule="atLeast"/>
              <w:rPr>
                <w:rFonts w:cs="Arial"/>
                <w:b/>
                <w:sz w:val="20"/>
                <w:szCs w:val="20"/>
              </w:rPr>
            </w:pPr>
            <w:r w:rsidRPr="00490667">
              <w:rPr>
                <w:rFonts w:cs="Arial"/>
                <w:b/>
                <w:color w:val="auto"/>
                <w:sz w:val="20"/>
                <w:szCs w:val="20"/>
              </w:rPr>
              <w:t>Name of body:</w:t>
            </w:r>
          </w:p>
        </w:tc>
        <w:tc>
          <w:tcPr>
            <w:tcW w:w="89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</w:tcPr>
          <w:p w:rsidR="00490667" w:rsidRPr="002A209F" w:rsidRDefault="00B85897" w:rsidP="00490667">
            <w:pPr>
              <w:pStyle w:val="Heading3"/>
              <w:spacing w:before="60" w:after="60" w:line="240" w:lineRule="atLeas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LLANFOIST FAWR COMMUNITY COUNCIL</w:t>
            </w:r>
          </w:p>
        </w:tc>
      </w:tr>
    </w:tbl>
    <w:p w:rsidR="00490667" w:rsidRDefault="00490667" w:rsidP="00490667"/>
    <w:tbl>
      <w:tblPr>
        <w:tblW w:w="0" w:type="auto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FF"/>
        <w:tblLook w:val="01E0" w:firstRow="1" w:lastRow="1" w:firstColumn="1" w:lastColumn="1" w:noHBand="0" w:noVBand="0"/>
      </w:tblPr>
      <w:tblGrid>
        <w:gridCol w:w="1929"/>
        <w:gridCol w:w="1498"/>
        <w:gridCol w:w="1575"/>
        <w:gridCol w:w="5490"/>
      </w:tblGrid>
      <w:tr w:rsidR="008F185D" w:rsidRPr="00681DA1" w:rsidTr="00681DA1">
        <w:trPr>
          <w:trHeight w:val="20"/>
        </w:trPr>
        <w:tc>
          <w:tcPr>
            <w:tcW w:w="1929" w:type="dxa"/>
            <w:vMerge w:val="restart"/>
            <w:shd w:val="clear" w:color="auto" w:fill="B01717"/>
          </w:tcPr>
          <w:p w:rsidR="0086519E" w:rsidRPr="00681DA1" w:rsidRDefault="0086519E" w:rsidP="00A302BE">
            <w:pPr>
              <w:spacing w:before="40" w:after="40" w:line="240" w:lineRule="atLeast"/>
              <w:jc w:val="both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shd w:val="clear" w:color="auto" w:fill="B01717"/>
          </w:tcPr>
          <w:p w:rsidR="0086519E" w:rsidRPr="00681DA1" w:rsidRDefault="0086519E" w:rsidP="00A302BE">
            <w:pPr>
              <w:spacing w:before="40" w:after="40" w:line="240" w:lineRule="atLeas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bCs/>
                <w:color w:val="FFFFFF"/>
                <w:sz w:val="18"/>
                <w:szCs w:val="18"/>
              </w:rPr>
              <w:t>Year ending</w:t>
            </w:r>
          </w:p>
        </w:tc>
        <w:tc>
          <w:tcPr>
            <w:tcW w:w="5490" w:type="dxa"/>
            <w:shd w:val="clear" w:color="auto" w:fill="B01717"/>
          </w:tcPr>
          <w:p w:rsidR="0086519E" w:rsidRPr="00681DA1" w:rsidRDefault="0086519E" w:rsidP="00A302BE">
            <w:pPr>
              <w:spacing w:before="40" w:after="40" w:line="240" w:lineRule="atLeast"/>
              <w:jc w:val="both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bCs/>
                <w:color w:val="FFFFFF"/>
                <w:sz w:val="18"/>
                <w:szCs w:val="18"/>
              </w:rPr>
              <w:t>Notes and guidance for compilers</w:t>
            </w:r>
          </w:p>
        </w:tc>
      </w:tr>
      <w:tr w:rsidR="008F185D" w:rsidRPr="00681DA1" w:rsidTr="00B608AC">
        <w:trPr>
          <w:trHeight w:val="306"/>
        </w:trPr>
        <w:tc>
          <w:tcPr>
            <w:tcW w:w="1929" w:type="dxa"/>
            <w:vMerge/>
            <w:tcBorders>
              <w:bottom w:val="single" w:sz="8" w:space="0" w:color="BFBFBF"/>
            </w:tcBorders>
            <w:shd w:val="clear" w:color="auto" w:fill="B01717"/>
          </w:tcPr>
          <w:p w:rsidR="0086519E" w:rsidRPr="00681DA1" w:rsidRDefault="0086519E" w:rsidP="00A302BE">
            <w:pPr>
              <w:spacing w:before="40" w:after="40" w:line="240" w:lineRule="atLeast"/>
              <w:jc w:val="both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8" w:space="0" w:color="BFBFBF"/>
            </w:tcBorders>
            <w:shd w:val="clear" w:color="auto" w:fill="B01717"/>
          </w:tcPr>
          <w:p w:rsidR="0086519E" w:rsidRPr="00681DA1" w:rsidRDefault="006D318C" w:rsidP="00A302BE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>31 March</w:t>
            </w: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br/>
              <w:t>201</w:t>
            </w:r>
            <w:r w:rsidR="00580007">
              <w:rPr>
                <w:rFonts w:cs="Arial"/>
                <w:b/>
                <w:color w:val="FFFFFF"/>
                <w:sz w:val="18"/>
                <w:szCs w:val="18"/>
              </w:rPr>
              <w:t>9</w:t>
            </w:r>
          </w:p>
          <w:p w:rsidR="0086519E" w:rsidRPr="00681DA1" w:rsidRDefault="0086519E" w:rsidP="00A302BE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>(£)</w:t>
            </w:r>
          </w:p>
        </w:tc>
        <w:tc>
          <w:tcPr>
            <w:tcW w:w="1575" w:type="dxa"/>
            <w:tcBorders>
              <w:bottom w:val="single" w:sz="8" w:space="0" w:color="BFBFBF"/>
            </w:tcBorders>
            <w:shd w:val="clear" w:color="auto" w:fill="B01717"/>
          </w:tcPr>
          <w:p w:rsidR="0086519E" w:rsidRPr="00681DA1" w:rsidRDefault="006D318C" w:rsidP="00A302BE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>31 March</w:t>
            </w: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br/>
              <w:t>20</w:t>
            </w:r>
            <w:r w:rsidR="00580007">
              <w:rPr>
                <w:rFonts w:cs="Arial"/>
                <w:b/>
                <w:color w:val="FFFFFF"/>
                <w:sz w:val="18"/>
                <w:szCs w:val="18"/>
              </w:rPr>
              <w:t>20</w:t>
            </w:r>
          </w:p>
          <w:p w:rsidR="0086519E" w:rsidRPr="00681DA1" w:rsidRDefault="0086519E" w:rsidP="00A302BE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>(£)</w:t>
            </w:r>
          </w:p>
        </w:tc>
        <w:tc>
          <w:tcPr>
            <w:tcW w:w="5490" w:type="dxa"/>
            <w:tcBorders>
              <w:bottom w:val="single" w:sz="8" w:space="0" w:color="BFBFBF"/>
            </w:tcBorders>
            <w:shd w:val="clear" w:color="auto" w:fill="B01717"/>
          </w:tcPr>
          <w:p w:rsidR="0086519E" w:rsidRPr="00681DA1" w:rsidRDefault="0086519E" w:rsidP="00A302BE">
            <w:pPr>
              <w:spacing w:before="40" w:after="40" w:line="240" w:lineRule="atLeast"/>
              <w:rPr>
                <w:rFonts w:cs="Arial"/>
                <w:b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 xml:space="preserve">Please round all figures to nearest £. </w:t>
            </w:r>
          </w:p>
          <w:p w:rsidR="0086519E" w:rsidRPr="00681DA1" w:rsidRDefault="0086519E" w:rsidP="00430EEE">
            <w:pPr>
              <w:spacing w:before="40" w:after="40" w:line="240" w:lineRule="atLeast"/>
              <w:rPr>
                <w:rFonts w:cs="Arial"/>
                <w:b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>Do not leave any boxes blank and report £0 or nil balances. All figures must agree to the underlying financial records for the relevant year.</w:t>
            </w:r>
          </w:p>
        </w:tc>
      </w:tr>
      <w:tr w:rsidR="00B608AC" w:rsidRPr="00B608AC" w:rsidTr="00980962">
        <w:trPr>
          <w:trHeight w:val="20"/>
        </w:trPr>
        <w:tc>
          <w:tcPr>
            <w:tcW w:w="10492" w:type="dxa"/>
            <w:gridSpan w:val="4"/>
            <w:shd w:val="clear" w:color="auto" w:fill="FFFFFF"/>
          </w:tcPr>
          <w:p w:rsidR="004D2099" w:rsidRPr="00B608AC" w:rsidRDefault="004D2099" w:rsidP="004D2099">
            <w:pPr>
              <w:pStyle w:val="Tableheading"/>
              <w:rPr>
                <w:color w:val="auto"/>
                <w:sz w:val="22"/>
                <w:szCs w:val="22"/>
              </w:rPr>
            </w:pPr>
            <w:r w:rsidRPr="00B608AC">
              <w:rPr>
                <w:color w:val="auto"/>
                <w:sz w:val="22"/>
                <w:szCs w:val="22"/>
              </w:rPr>
              <w:t>Stat</w:t>
            </w:r>
            <w:r w:rsidR="001510A2">
              <w:rPr>
                <w:color w:val="auto"/>
                <w:sz w:val="22"/>
                <w:szCs w:val="22"/>
              </w:rPr>
              <w:t>ement of income and expenditure</w:t>
            </w:r>
            <w:r w:rsidR="00B51BD2">
              <w:rPr>
                <w:color w:val="auto"/>
                <w:sz w:val="22"/>
                <w:szCs w:val="22"/>
              </w:rPr>
              <w:t>/</w:t>
            </w:r>
            <w:r w:rsidRPr="00B608AC">
              <w:rPr>
                <w:color w:val="auto"/>
                <w:sz w:val="22"/>
                <w:szCs w:val="22"/>
              </w:rPr>
              <w:t>receipts and payments</w:t>
            </w:r>
          </w:p>
        </w:tc>
      </w:tr>
      <w:tr w:rsidR="00051DBD" w:rsidRPr="00681DA1" w:rsidTr="00681DA1">
        <w:trPr>
          <w:trHeight w:val="20"/>
        </w:trPr>
        <w:tc>
          <w:tcPr>
            <w:tcW w:w="1929" w:type="dxa"/>
            <w:shd w:val="clear" w:color="auto" w:fill="FFFFFF"/>
          </w:tcPr>
          <w:p w:rsidR="00051DBD" w:rsidRPr="00681DA1" w:rsidRDefault="00051DBD" w:rsidP="00051DBD">
            <w:pPr>
              <w:numPr>
                <w:ilvl w:val="0"/>
                <w:numId w:val="16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Balances brought forward</w:t>
            </w:r>
          </w:p>
        </w:tc>
        <w:tc>
          <w:tcPr>
            <w:tcW w:w="1498" w:type="dxa"/>
            <w:shd w:val="clear" w:color="auto" w:fill="F2DBDB"/>
          </w:tcPr>
          <w:p w:rsidR="00051DBD" w:rsidRDefault="00760B32" w:rsidP="00760B32">
            <w:pPr>
              <w:jc w:val="right"/>
            </w:pPr>
            <w:bookmarkStart w:id="1" w:name="Text6"/>
            <w:r>
              <w:rPr>
                <w:rFonts w:cs="Arial"/>
                <w:sz w:val="18"/>
                <w:szCs w:val="18"/>
              </w:rPr>
              <w:t>76,</w:t>
            </w:r>
            <w:bookmarkEnd w:id="1"/>
            <w:r>
              <w:rPr>
                <w:rFonts w:cs="Arial"/>
                <w:sz w:val="18"/>
                <w:szCs w:val="18"/>
              </w:rPr>
              <w:t>957</w:t>
            </w:r>
          </w:p>
        </w:tc>
        <w:tc>
          <w:tcPr>
            <w:tcW w:w="1575" w:type="dxa"/>
            <w:shd w:val="clear" w:color="auto" w:fill="F2DBDB"/>
          </w:tcPr>
          <w:p w:rsidR="00051DBD" w:rsidRDefault="00760B32" w:rsidP="00051DBD">
            <w:pPr>
              <w:jc w:val="right"/>
            </w:pPr>
            <w:r>
              <w:rPr>
                <w:rFonts w:cs="Arial"/>
                <w:sz w:val="18"/>
                <w:szCs w:val="18"/>
              </w:rPr>
              <w:t>92,363</w:t>
            </w:r>
          </w:p>
        </w:tc>
        <w:tc>
          <w:tcPr>
            <w:tcW w:w="5490" w:type="dxa"/>
            <w:shd w:val="clear" w:color="auto" w:fill="FFFFFF"/>
          </w:tcPr>
          <w:p w:rsidR="00051DBD" w:rsidRPr="00681DA1" w:rsidRDefault="00051DBD" w:rsidP="00051DBD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Total balances and reserves at the beginning of the year as recorded in the fi</w:t>
            </w:r>
            <w:r>
              <w:rPr>
                <w:rFonts w:cs="Arial"/>
                <w:sz w:val="18"/>
                <w:szCs w:val="18"/>
              </w:rPr>
              <w:t>nancial records. Must agree to l</w:t>
            </w:r>
            <w:r w:rsidRPr="00681DA1">
              <w:rPr>
                <w:rFonts w:cs="Arial"/>
                <w:sz w:val="18"/>
                <w:szCs w:val="18"/>
              </w:rPr>
              <w:t>ine 7 of the previous year.</w:t>
            </w:r>
          </w:p>
        </w:tc>
      </w:tr>
      <w:tr w:rsidR="00051DBD" w:rsidRPr="00681DA1" w:rsidTr="00681DA1">
        <w:trPr>
          <w:trHeight w:val="20"/>
        </w:trPr>
        <w:tc>
          <w:tcPr>
            <w:tcW w:w="1929" w:type="dxa"/>
            <w:shd w:val="clear" w:color="auto" w:fill="FFFFFF"/>
          </w:tcPr>
          <w:p w:rsidR="00051DBD" w:rsidRPr="00681DA1" w:rsidRDefault="00051DBD" w:rsidP="00051DBD">
            <w:pPr>
              <w:numPr>
                <w:ilvl w:val="0"/>
                <w:numId w:val="16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 xml:space="preserve">(+) Income </w:t>
            </w:r>
            <w:r>
              <w:rPr>
                <w:rFonts w:cs="Arial"/>
                <w:sz w:val="18"/>
                <w:szCs w:val="18"/>
              </w:rPr>
              <w:br/>
            </w:r>
            <w:r w:rsidRPr="00681DA1">
              <w:rPr>
                <w:rFonts w:cs="Arial"/>
                <w:sz w:val="18"/>
                <w:szCs w:val="18"/>
              </w:rPr>
              <w:t>from local taxation/levy</w:t>
            </w:r>
          </w:p>
        </w:tc>
        <w:tc>
          <w:tcPr>
            <w:tcW w:w="1498" w:type="dxa"/>
            <w:shd w:val="clear" w:color="auto" w:fill="F2DBDB"/>
          </w:tcPr>
          <w:p w:rsidR="00051DBD" w:rsidRDefault="00760B32" w:rsidP="00051DBD">
            <w:pPr>
              <w:jc w:val="right"/>
            </w:pPr>
            <w:r>
              <w:rPr>
                <w:rFonts w:cs="Arial"/>
                <w:sz w:val="18"/>
                <w:szCs w:val="18"/>
              </w:rPr>
              <w:t>65,000</w:t>
            </w:r>
          </w:p>
        </w:tc>
        <w:tc>
          <w:tcPr>
            <w:tcW w:w="1575" w:type="dxa"/>
            <w:shd w:val="clear" w:color="auto" w:fill="F2DBDB"/>
          </w:tcPr>
          <w:p w:rsidR="00051DBD" w:rsidRDefault="00760B32" w:rsidP="00051DBD">
            <w:pPr>
              <w:jc w:val="right"/>
            </w:pPr>
            <w:r>
              <w:rPr>
                <w:rFonts w:cs="Arial"/>
                <w:sz w:val="18"/>
                <w:szCs w:val="18"/>
              </w:rPr>
              <w:t>65,000</w:t>
            </w:r>
          </w:p>
        </w:tc>
        <w:tc>
          <w:tcPr>
            <w:tcW w:w="5490" w:type="dxa"/>
            <w:shd w:val="clear" w:color="auto" w:fill="FFFFFF"/>
          </w:tcPr>
          <w:p w:rsidR="00051DBD" w:rsidRPr="00681DA1" w:rsidRDefault="00051DBD" w:rsidP="00051DBD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Total amount of income received/receivable in the year from local taxation (precept) or levy/contribution from principal bodies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051DBD" w:rsidRPr="00681DA1" w:rsidTr="00681DA1">
        <w:trPr>
          <w:trHeight w:val="288"/>
        </w:trPr>
        <w:tc>
          <w:tcPr>
            <w:tcW w:w="1929" w:type="dxa"/>
            <w:shd w:val="clear" w:color="auto" w:fill="FFFFFF"/>
          </w:tcPr>
          <w:p w:rsidR="00051DBD" w:rsidRPr="00681DA1" w:rsidRDefault="00051DBD" w:rsidP="00051DBD">
            <w:pPr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(+) Total other receipts</w:t>
            </w:r>
          </w:p>
        </w:tc>
        <w:tc>
          <w:tcPr>
            <w:tcW w:w="1498" w:type="dxa"/>
            <w:shd w:val="clear" w:color="auto" w:fill="F2DBDB"/>
          </w:tcPr>
          <w:p w:rsidR="00051DBD" w:rsidRDefault="00760B32" w:rsidP="00051DBD">
            <w:pPr>
              <w:jc w:val="right"/>
            </w:pPr>
            <w:r>
              <w:rPr>
                <w:rFonts w:cs="Arial"/>
                <w:sz w:val="18"/>
                <w:szCs w:val="18"/>
              </w:rPr>
              <w:t>31,126</w:t>
            </w:r>
          </w:p>
        </w:tc>
        <w:tc>
          <w:tcPr>
            <w:tcW w:w="1575" w:type="dxa"/>
            <w:shd w:val="clear" w:color="auto" w:fill="F2DBDB"/>
          </w:tcPr>
          <w:p w:rsidR="00051DBD" w:rsidRDefault="00D16651" w:rsidP="00BE2A13">
            <w:pPr>
              <w:jc w:val="right"/>
            </w:pPr>
            <w:r>
              <w:rPr>
                <w:rFonts w:cs="Arial"/>
                <w:sz w:val="18"/>
                <w:szCs w:val="18"/>
              </w:rPr>
              <w:t>43,4</w:t>
            </w:r>
            <w:r w:rsidR="00BE2A1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5490" w:type="dxa"/>
            <w:shd w:val="clear" w:color="auto" w:fill="FFFFFF"/>
          </w:tcPr>
          <w:p w:rsidR="00051DBD" w:rsidRPr="00681DA1" w:rsidRDefault="00051DBD" w:rsidP="00051DBD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Total income or receipts recorded in the cashbook minus amounts inc</w:t>
            </w:r>
            <w:r>
              <w:rPr>
                <w:rFonts w:cs="Arial"/>
                <w:sz w:val="18"/>
                <w:szCs w:val="18"/>
              </w:rPr>
              <w:t>luded</w:t>
            </w:r>
            <w:r w:rsidRPr="00681DA1">
              <w:rPr>
                <w:rFonts w:cs="Arial"/>
                <w:sz w:val="18"/>
                <w:szCs w:val="18"/>
              </w:rPr>
              <w:t xml:space="preserve"> in line 2. Includes support, discretionary and revenue grants.</w:t>
            </w:r>
          </w:p>
        </w:tc>
      </w:tr>
      <w:tr w:rsidR="00051DBD" w:rsidRPr="00681DA1" w:rsidTr="00681DA1">
        <w:trPr>
          <w:trHeight w:val="98"/>
        </w:trPr>
        <w:tc>
          <w:tcPr>
            <w:tcW w:w="1929" w:type="dxa"/>
            <w:shd w:val="clear" w:color="auto" w:fill="FFFFFF"/>
          </w:tcPr>
          <w:p w:rsidR="00051DBD" w:rsidRPr="00681DA1" w:rsidRDefault="00051DBD" w:rsidP="00051DBD">
            <w:pPr>
              <w:numPr>
                <w:ilvl w:val="0"/>
                <w:numId w:val="16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(-) Staff costs</w:t>
            </w:r>
          </w:p>
        </w:tc>
        <w:tc>
          <w:tcPr>
            <w:tcW w:w="1498" w:type="dxa"/>
            <w:shd w:val="clear" w:color="auto" w:fill="F2DBDB"/>
          </w:tcPr>
          <w:p w:rsidR="00051DBD" w:rsidRDefault="00760B32" w:rsidP="00051DBD">
            <w:pPr>
              <w:jc w:val="right"/>
            </w:pPr>
            <w:r>
              <w:rPr>
                <w:rFonts w:cs="Arial"/>
                <w:sz w:val="18"/>
                <w:szCs w:val="18"/>
              </w:rPr>
              <w:t>12,217</w:t>
            </w:r>
          </w:p>
        </w:tc>
        <w:tc>
          <w:tcPr>
            <w:tcW w:w="1575" w:type="dxa"/>
            <w:shd w:val="clear" w:color="auto" w:fill="F2DBDB"/>
          </w:tcPr>
          <w:p w:rsidR="00051DBD" w:rsidRDefault="00D16651" w:rsidP="00051DBD">
            <w:pPr>
              <w:jc w:val="right"/>
            </w:pPr>
            <w:r>
              <w:rPr>
                <w:rFonts w:cs="Arial"/>
                <w:sz w:val="18"/>
                <w:szCs w:val="18"/>
              </w:rPr>
              <w:t>13,221</w:t>
            </w:r>
          </w:p>
        </w:tc>
        <w:tc>
          <w:tcPr>
            <w:tcW w:w="5490" w:type="dxa"/>
            <w:shd w:val="clear" w:color="auto" w:fill="FFFFFF"/>
          </w:tcPr>
          <w:p w:rsidR="00051DBD" w:rsidRPr="00681DA1" w:rsidRDefault="00051DBD" w:rsidP="00051DBD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 xml:space="preserve">Total expenditure or payments made to and on behalf of </w:t>
            </w:r>
            <w:r>
              <w:rPr>
                <w:rFonts w:cs="Arial"/>
                <w:sz w:val="18"/>
                <w:szCs w:val="18"/>
              </w:rPr>
              <w:br/>
            </w:r>
            <w:r w:rsidRPr="00681DA1">
              <w:rPr>
                <w:rFonts w:cs="Arial"/>
                <w:sz w:val="18"/>
                <w:szCs w:val="18"/>
              </w:rPr>
              <w:t>all employees. Include salaries and wages, PAYE and NI (employees and employers), pension contributions and related expenses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eg</w:t>
            </w:r>
            <w:proofErr w:type="spellEnd"/>
            <w:r w:rsidR="004E6CC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</w:rPr>
              <w:t>termination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costs</w:t>
            </w:r>
            <w:r w:rsidRPr="00681DA1">
              <w:rPr>
                <w:rFonts w:cs="Arial"/>
                <w:sz w:val="18"/>
                <w:szCs w:val="18"/>
              </w:rPr>
              <w:t>.</w:t>
            </w:r>
          </w:p>
        </w:tc>
      </w:tr>
      <w:tr w:rsidR="00051DBD" w:rsidRPr="00681DA1" w:rsidTr="00681DA1">
        <w:trPr>
          <w:trHeight w:val="97"/>
        </w:trPr>
        <w:tc>
          <w:tcPr>
            <w:tcW w:w="1929" w:type="dxa"/>
            <w:shd w:val="clear" w:color="auto" w:fill="FFFFFF"/>
          </w:tcPr>
          <w:p w:rsidR="00051DBD" w:rsidRPr="00681DA1" w:rsidRDefault="00051DBD" w:rsidP="00051DBD">
            <w:pPr>
              <w:numPr>
                <w:ilvl w:val="0"/>
                <w:numId w:val="16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 xml:space="preserve">(-) Loan </w:t>
            </w:r>
            <w:r>
              <w:rPr>
                <w:rFonts w:cs="Arial"/>
                <w:sz w:val="18"/>
                <w:szCs w:val="18"/>
              </w:rPr>
              <w:br/>
              <w:t>interest/</w:t>
            </w:r>
            <w:r w:rsidRPr="00681DA1">
              <w:rPr>
                <w:rFonts w:cs="Arial"/>
                <w:sz w:val="18"/>
                <w:szCs w:val="18"/>
              </w:rPr>
              <w:t>capital repayments</w:t>
            </w:r>
          </w:p>
        </w:tc>
        <w:tc>
          <w:tcPr>
            <w:tcW w:w="1498" w:type="dxa"/>
            <w:shd w:val="clear" w:color="auto" w:fill="F2DBDB"/>
          </w:tcPr>
          <w:p w:rsidR="00051DBD" w:rsidRDefault="00051DBD" w:rsidP="00051DBD">
            <w:pPr>
              <w:jc w:val="right"/>
            </w:pPr>
            <w:r w:rsidRPr="009E7952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9E79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E7952">
              <w:rPr>
                <w:rFonts w:cs="Arial"/>
                <w:sz w:val="18"/>
                <w:szCs w:val="18"/>
              </w:rPr>
            </w:r>
            <w:r w:rsidRPr="009E7952">
              <w:rPr>
                <w:rFonts w:cs="Arial"/>
                <w:sz w:val="18"/>
                <w:szCs w:val="18"/>
              </w:rPr>
              <w:fldChar w:fldCharType="separate"/>
            </w:r>
            <w:r w:rsidRPr="009E7952">
              <w:rPr>
                <w:rFonts w:cs="Arial"/>
                <w:noProof/>
                <w:sz w:val="18"/>
                <w:szCs w:val="18"/>
              </w:rPr>
              <w:t>0</w:t>
            </w:r>
            <w:r w:rsidRPr="009E795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shd w:val="clear" w:color="auto" w:fill="F2DBDB"/>
          </w:tcPr>
          <w:p w:rsidR="00051DBD" w:rsidRDefault="00051DBD" w:rsidP="00051DBD">
            <w:pPr>
              <w:jc w:val="right"/>
            </w:pPr>
            <w:r w:rsidRPr="009E7952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9E79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E7952">
              <w:rPr>
                <w:rFonts w:cs="Arial"/>
                <w:sz w:val="18"/>
                <w:szCs w:val="18"/>
              </w:rPr>
            </w:r>
            <w:r w:rsidRPr="009E7952">
              <w:rPr>
                <w:rFonts w:cs="Arial"/>
                <w:sz w:val="18"/>
                <w:szCs w:val="18"/>
              </w:rPr>
              <w:fldChar w:fldCharType="separate"/>
            </w:r>
            <w:r w:rsidRPr="009E7952">
              <w:rPr>
                <w:rFonts w:cs="Arial"/>
                <w:noProof/>
                <w:sz w:val="18"/>
                <w:szCs w:val="18"/>
              </w:rPr>
              <w:t>0</w:t>
            </w:r>
            <w:r w:rsidRPr="009E795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90" w:type="dxa"/>
            <w:shd w:val="clear" w:color="auto" w:fill="FFFFFF"/>
          </w:tcPr>
          <w:p w:rsidR="00051DBD" w:rsidRPr="00681DA1" w:rsidRDefault="00051DBD" w:rsidP="00051DBD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Total expenditure or payments of capital and interest made during the year on external borrowing (if any).</w:t>
            </w:r>
          </w:p>
        </w:tc>
      </w:tr>
      <w:tr w:rsidR="00051DBD" w:rsidRPr="00681DA1" w:rsidTr="00681DA1">
        <w:trPr>
          <w:trHeight w:val="66"/>
        </w:trPr>
        <w:tc>
          <w:tcPr>
            <w:tcW w:w="1929" w:type="dxa"/>
            <w:shd w:val="clear" w:color="auto" w:fill="FFFFFF"/>
          </w:tcPr>
          <w:p w:rsidR="00051DBD" w:rsidRPr="00681DA1" w:rsidRDefault="00051DBD" w:rsidP="00051DBD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(-) Total other payments</w:t>
            </w:r>
          </w:p>
        </w:tc>
        <w:tc>
          <w:tcPr>
            <w:tcW w:w="1498" w:type="dxa"/>
            <w:shd w:val="clear" w:color="auto" w:fill="F2DBDB"/>
          </w:tcPr>
          <w:p w:rsidR="00051DBD" w:rsidRDefault="00760B32" w:rsidP="00051DBD">
            <w:pPr>
              <w:jc w:val="right"/>
            </w:pPr>
            <w:r>
              <w:rPr>
                <w:rFonts w:cs="Arial"/>
                <w:sz w:val="18"/>
                <w:szCs w:val="18"/>
              </w:rPr>
              <w:t>68,502</w:t>
            </w:r>
          </w:p>
        </w:tc>
        <w:tc>
          <w:tcPr>
            <w:tcW w:w="1575" w:type="dxa"/>
            <w:shd w:val="clear" w:color="auto" w:fill="F2DBDB"/>
          </w:tcPr>
          <w:p w:rsidR="00051DBD" w:rsidRDefault="00D16651" w:rsidP="00051DBD">
            <w:pPr>
              <w:jc w:val="right"/>
            </w:pPr>
            <w:r>
              <w:rPr>
                <w:rFonts w:cs="Arial"/>
                <w:sz w:val="18"/>
                <w:szCs w:val="18"/>
              </w:rPr>
              <w:t>157,933</w:t>
            </w:r>
          </w:p>
        </w:tc>
        <w:tc>
          <w:tcPr>
            <w:tcW w:w="5490" w:type="dxa"/>
            <w:shd w:val="clear" w:color="auto" w:fill="FFFFFF"/>
          </w:tcPr>
          <w:p w:rsidR="00051DBD" w:rsidRPr="00681DA1" w:rsidRDefault="00051DBD" w:rsidP="00051DBD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Total expenditure or payments as recorded in t</w:t>
            </w:r>
            <w:r>
              <w:rPr>
                <w:rFonts w:cs="Arial"/>
                <w:sz w:val="18"/>
                <w:szCs w:val="18"/>
              </w:rPr>
              <w:t>he cashbook minus staff costs (l</w:t>
            </w:r>
            <w:r w:rsidRPr="00681DA1">
              <w:rPr>
                <w:rFonts w:cs="Arial"/>
                <w:sz w:val="18"/>
                <w:szCs w:val="18"/>
              </w:rPr>
              <w:t>ine 4) and loa</w:t>
            </w:r>
            <w:r>
              <w:rPr>
                <w:rFonts w:cs="Arial"/>
                <w:sz w:val="18"/>
                <w:szCs w:val="18"/>
              </w:rPr>
              <w:t>n interest/capital repayments (l</w:t>
            </w:r>
            <w:r w:rsidRPr="00681DA1">
              <w:rPr>
                <w:rFonts w:cs="Arial"/>
                <w:sz w:val="18"/>
                <w:szCs w:val="18"/>
              </w:rPr>
              <w:t>ine 5).</w:t>
            </w:r>
          </w:p>
        </w:tc>
      </w:tr>
      <w:tr w:rsidR="00051DBD" w:rsidRPr="00681DA1" w:rsidTr="00B608AC">
        <w:trPr>
          <w:trHeight w:val="20"/>
        </w:trPr>
        <w:tc>
          <w:tcPr>
            <w:tcW w:w="1929" w:type="dxa"/>
            <w:tcBorders>
              <w:bottom w:val="single" w:sz="8" w:space="0" w:color="BFBFBF"/>
            </w:tcBorders>
            <w:shd w:val="clear" w:color="auto" w:fill="FFFFFF"/>
          </w:tcPr>
          <w:p w:rsidR="00051DBD" w:rsidRPr="00681DA1" w:rsidRDefault="00051DBD" w:rsidP="00051DBD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(=) Balances carried forward</w:t>
            </w:r>
          </w:p>
        </w:tc>
        <w:tc>
          <w:tcPr>
            <w:tcW w:w="1498" w:type="dxa"/>
            <w:tcBorders>
              <w:bottom w:val="single" w:sz="8" w:space="0" w:color="BFBFBF"/>
            </w:tcBorders>
            <w:shd w:val="clear" w:color="auto" w:fill="F2DBDB"/>
          </w:tcPr>
          <w:p w:rsidR="00051DBD" w:rsidRDefault="00760B32" w:rsidP="00051DBD">
            <w:pPr>
              <w:jc w:val="right"/>
            </w:pPr>
            <w:r>
              <w:rPr>
                <w:rFonts w:cs="Arial"/>
                <w:sz w:val="18"/>
                <w:szCs w:val="18"/>
              </w:rPr>
              <w:t>92,363</w:t>
            </w:r>
          </w:p>
        </w:tc>
        <w:tc>
          <w:tcPr>
            <w:tcW w:w="1575" w:type="dxa"/>
            <w:tcBorders>
              <w:bottom w:val="single" w:sz="8" w:space="0" w:color="BFBFBF"/>
            </w:tcBorders>
            <w:shd w:val="clear" w:color="auto" w:fill="F2DBDB"/>
          </w:tcPr>
          <w:p w:rsidR="00051DBD" w:rsidRDefault="00D16651" w:rsidP="00BE2A13">
            <w:pPr>
              <w:jc w:val="right"/>
            </w:pPr>
            <w:r>
              <w:rPr>
                <w:rFonts w:cs="Arial"/>
                <w:sz w:val="18"/>
                <w:szCs w:val="18"/>
              </w:rPr>
              <w:t>29,6</w:t>
            </w:r>
            <w:r w:rsidR="00BE2A1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5490" w:type="dxa"/>
            <w:tcBorders>
              <w:bottom w:val="single" w:sz="8" w:space="0" w:color="BFBFBF"/>
            </w:tcBorders>
            <w:shd w:val="clear" w:color="auto" w:fill="FFFFFF"/>
          </w:tcPr>
          <w:p w:rsidR="00051DBD" w:rsidRPr="00681DA1" w:rsidRDefault="00051DBD" w:rsidP="00051DBD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Total balances and reserves at the end of the year. Must equal (1+2+3) – (4+5+6).</w:t>
            </w:r>
          </w:p>
        </w:tc>
      </w:tr>
      <w:tr w:rsidR="00B608AC" w:rsidRPr="00955593" w:rsidTr="00B608AC">
        <w:trPr>
          <w:trHeight w:val="20"/>
        </w:trPr>
        <w:tc>
          <w:tcPr>
            <w:tcW w:w="10492" w:type="dxa"/>
            <w:gridSpan w:val="4"/>
            <w:shd w:val="clear" w:color="auto" w:fill="auto"/>
          </w:tcPr>
          <w:p w:rsidR="004D2099" w:rsidRPr="00955593" w:rsidRDefault="004D2099" w:rsidP="004D2099">
            <w:pPr>
              <w:pStyle w:val="Tableheading"/>
              <w:rPr>
                <w:color w:val="auto"/>
                <w:sz w:val="22"/>
                <w:szCs w:val="22"/>
              </w:rPr>
            </w:pPr>
            <w:r w:rsidRPr="00955593">
              <w:rPr>
                <w:color w:val="auto"/>
                <w:sz w:val="22"/>
                <w:szCs w:val="22"/>
              </w:rPr>
              <w:t>Statement of balances</w:t>
            </w:r>
          </w:p>
        </w:tc>
      </w:tr>
      <w:tr w:rsidR="00051DBD" w:rsidRPr="00681DA1" w:rsidTr="00681DA1">
        <w:trPr>
          <w:trHeight w:val="20"/>
        </w:trPr>
        <w:tc>
          <w:tcPr>
            <w:tcW w:w="1929" w:type="dxa"/>
            <w:shd w:val="clear" w:color="auto" w:fill="FFFFFF"/>
          </w:tcPr>
          <w:p w:rsidR="00051DBD" w:rsidRPr="00681DA1" w:rsidRDefault="00051DBD" w:rsidP="00051DBD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 xml:space="preserve"> (+) Debtors and stock balances</w:t>
            </w:r>
          </w:p>
        </w:tc>
        <w:tc>
          <w:tcPr>
            <w:tcW w:w="1498" w:type="dxa"/>
            <w:shd w:val="clear" w:color="auto" w:fill="F2DBDB"/>
          </w:tcPr>
          <w:p w:rsidR="00051DBD" w:rsidRDefault="00051DBD" w:rsidP="00051DBD">
            <w:pPr>
              <w:jc w:val="right"/>
            </w:pPr>
            <w:r w:rsidRPr="00907DF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907DF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07DF9">
              <w:rPr>
                <w:rFonts w:cs="Arial"/>
                <w:sz w:val="18"/>
                <w:szCs w:val="18"/>
              </w:rPr>
            </w:r>
            <w:r w:rsidRPr="00907DF9">
              <w:rPr>
                <w:rFonts w:cs="Arial"/>
                <w:sz w:val="18"/>
                <w:szCs w:val="18"/>
              </w:rPr>
              <w:fldChar w:fldCharType="separate"/>
            </w:r>
            <w:r w:rsidRPr="00907DF9">
              <w:rPr>
                <w:rFonts w:cs="Arial"/>
                <w:noProof/>
                <w:sz w:val="18"/>
                <w:szCs w:val="18"/>
              </w:rPr>
              <w:t>0</w:t>
            </w:r>
            <w:r w:rsidRPr="00907DF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shd w:val="clear" w:color="auto" w:fill="F2DBDB"/>
          </w:tcPr>
          <w:p w:rsidR="00051DBD" w:rsidRDefault="00051DBD" w:rsidP="00051DBD">
            <w:pPr>
              <w:jc w:val="right"/>
            </w:pPr>
            <w:r w:rsidRPr="00907DF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907DF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07DF9">
              <w:rPr>
                <w:rFonts w:cs="Arial"/>
                <w:sz w:val="18"/>
                <w:szCs w:val="18"/>
              </w:rPr>
            </w:r>
            <w:r w:rsidRPr="00907DF9">
              <w:rPr>
                <w:rFonts w:cs="Arial"/>
                <w:sz w:val="18"/>
                <w:szCs w:val="18"/>
              </w:rPr>
              <w:fldChar w:fldCharType="separate"/>
            </w:r>
            <w:r w:rsidRPr="00907DF9">
              <w:rPr>
                <w:rFonts w:cs="Arial"/>
                <w:noProof/>
                <w:sz w:val="18"/>
                <w:szCs w:val="18"/>
              </w:rPr>
              <w:t>0</w:t>
            </w:r>
            <w:r w:rsidRPr="00907DF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90" w:type="dxa"/>
            <w:shd w:val="clear" w:color="auto" w:fill="FFFFFF"/>
          </w:tcPr>
          <w:p w:rsidR="00051DBD" w:rsidRPr="00681DA1" w:rsidRDefault="00051DBD" w:rsidP="00051DBD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b/>
                <w:bCs/>
                <w:sz w:val="18"/>
                <w:szCs w:val="18"/>
              </w:rPr>
              <w:t>Income and expenditure accounts only:</w:t>
            </w:r>
            <w:r w:rsidRPr="00681DA1">
              <w:rPr>
                <w:rFonts w:cs="Arial"/>
                <w:sz w:val="18"/>
                <w:szCs w:val="18"/>
              </w:rPr>
              <w:t xml:space="preserve"> Enter the value of debts owed to the body and stock balances held at the year-end.</w:t>
            </w:r>
          </w:p>
        </w:tc>
      </w:tr>
      <w:tr w:rsidR="00051DBD" w:rsidRPr="00681DA1" w:rsidTr="00681DA1">
        <w:trPr>
          <w:trHeight w:val="20"/>
        </w:trPr>
        <w:tc>
          <w:tcPr>
            <w:tcW w:w="1929" w:type="dxa"/>
            <w:shd w:val="clear" w:color="auto" w:fill="FFFFFF"/>
          </w:tcPr>
          <w:p w:rsidR="00051DBD" w:rsidRPr="00681DA1" w:rsidRDefault="00051DBD" w:rsidP="00051DBD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 xml:space="preserve">(+) Total </w:t>
            </w:r>
            <w:r w:rsidRPr="00681DA1">
              <w:rPr>
                <w:rFonts w:cs="Arial"/>
                <w:sz w:val="18"/>
                <w:szCs w:val="18"/>
              </w:rPr>
              <w:br/>
              <w:t>cash and investments</w:t>
            </w:r>
          </w:p>
        </w:tc>
        <w:tc>
          <w:tcPr>
            <w:tcW w:w="1498" w:type="dxa"/>
            <w:shd w:val="clear" w:color="auto" w:fill="F2DBDB"/>
          </w:tcPr>
          <w:p w:rsidR="00051DBD" w:rsidRDefault="00760B32" w:rsidP="00051DBD">
            <w:pPr>
              <w:jc w:val="right"/>
            </w:pPr>
            <w:r>
              <w:rPr>
                <w:rFonts w:cs="Arial"/>
                <w:sz w:val="18"/>
                <w:szCs w:val="18"/>
              </w:rPr>
              <w:t>92,363</w:t>
            </w:r>
          </w:p>
        </w:tc>
        <w:tc>
          <w:tcPr>
            <w:tcW w:w="1575" w:type="dxa"/>
            <w:shd w:val="clear" w:color="auto" w:fill="F2DBDB"/>
          </w:tcPr>
          <w:p w:rsidR="00051DBD" w:rsidRDefault="00D16651" w:rsidP="00BE2A13">
            <w:pPr>
              <w:jc w:val="right"/>
            </w:pPr>
            <w:r>
              <w:rPr>
                <w:rFonts w:cs="Arial"/>
                <w:sz w:val="18"/>
                <w:szCs w:val="18"/>
              </w:rPr>
              <w:t>29,6</w:t>
            </w:r>
            <w:r w:rsidR="00BE2A1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5490" w:type="dxa"/>
            <w:shd w:val="clear" w:color="auto" w:fill="FFFFFF"/>
          </w:tcPr>
          <w:p w:rsidR="00051DBD" w:rsidRPr="00681DA1" w:rsidRDefault="00051DBD" w:rsidP="00051DBD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b/>
                <w:bCs/>
                <w:sz w:val="18"/>
                <w:szCs w:val="18"/>
              </w:rPr>
              <w:t>All accounts:</w:t>
            </w:r>
            <w:r w:rsidRPr="00681DA1">
              <w:rPr>
                <w:rFonts w:cs="Arial"/>
                <w:sz w:val="18"/>
                <w:szCs w:val="18"/>
              </w:rPr>
              <w:t xml:space="preserve"> The sum of all current and deposit bank accounts, cash holdings and investments held at 31 March. This must </w:t>
            </w:r>
            <w:r w:rsidRPr="00681DA1">
              <w:rPr>
                <w:rFonts w:cs="Arial"/>
                <w:sz w:val="18"/>
                <w:szCs w:val="18"/>
              </w:rPr>
              <w:br/>
              <w:t>agree with the reconciled cashbook balance as per the bank reconciliation.</w:t>
            </w:r>
          </w:p>
        </w:tc>
      </w:tr>
      <w:tr w:rsidR="00051DBD" w:rsidRPr="00681DA1" w:rsidTr="00681DA1">
        <w:trPr>
          <w:trHeight w:val="20"/>
        </w:trPr>
        <w:tc>
          <w:tcPr>
            <w:tcW w:w="1929" w:type="dxa"/>
            <w:shd w:val="clear" w:color="auto" w:fill="FFFFFF"/>
          </w:tcPr>
          <w:p w:rsidR="00051DBD" w:rsidRPr="00681DA1" w:rsidRDefault="00051DBD" w:rsidP="00051DBD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(-) Creditors</w:t>
            </w:r>
          </w:p>
        </w:tc>
        <w:tc>
          <w:tcPr>
            <w:tcW w:w="1498" w:type="dxa"/>
            <w:shd w:val="clear" w:color="auto" w:fill="F2DBDB"/>
          </w:tcPr>
          <w:p w:rsidR="00051DBD" w:rsidRDefault="00051DBD" w:rsidP="00051DBD">
            <w:pPr>
              <w:jc w:val="right"/>
            </w:pPr>
            <w:r w:rsidRPr="00907DF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907DF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07DF9">
              <w:rPr>
                <w:rFonts w:cs="Arial"/>
                <w:sz w:val="18"/>
                <w:szCs w:val="18"/>
              </w:rPr>
            </w:r>
            <w:r w:rsidRPr="00907DF9">
              <w:rPr>
                <w:rFonts w:cs="Arial"/>
                <w:sz w:val="18"/>
                <w:szCs w:val="18"/>
              </w:rPr>
              <w:fldChar w:fldCharType="separate"/>
            </w:r>
            <w:r w:rsidRPr="00907DF9">
              <w:rPr>
                <w:rFonts w:cs="Arial"/>
                <w:noProof/>
                <w:sz w:val="18"/>
                <w:szCs w:val="18"/>
              </w:rPr>
              <w:t>0</w:t>
            </w:r>
            <w:r w:rsidRPr="00907DF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shd w:val="clear" w:color="auto" w:fill="F2DBDB"/>
          </w:tcPr>
          <w:p w:rsidR="00051DBD" w:rsidRDefault="00051DBD" w:rsidP="00051DBD">
            <w:pPr>
              <w:jc w:val="right"/>
            </w:pPr>
            <w:r w:rsidRPr="00907DF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907DF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07DF9">
              <w:rPr>
                <w:rFonts w:cs="Arial"/>
                <w:sz w:val="18"/>
                <w:szCs w:val="18"/>
              </w:rPr>
            </w:r>
            <w:r w:rsidRPr="00907DF9">
              <w:rPr>
                <w:rFonts w:cs="Arial"/>
                <w:sz w:val="18"/>
                <w:szCs w:val="18"/>
              </w:rPr>
              <w:fldChar w:fldCharType="separate"/>
            </w:r>
            <w:r w:rsidRPr="00907DF9">
              <w:rPr>
                <w:rFonts w:cs="Arial"/>
                <w:noProof/>
                <w:sz w:val="18"/>
                <w:szCs w:val="18"/>
              </w:rPr>
              <w:t>0</w:t>
            </w:r>
            <w:r w:rsidRPr="00907DF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90" w:type="dxa"/>
            <w:shd w:val="clear" w:color="auto" w:fill="FFFFFF"/>
          </w:tcPr>
          <w:p w:rsidR="00051DBD" w:rsidRPr="00681DA1" w:rsidRDefault="00051DBD" w:rsidP="00051DBD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b/>
                <w:bCs/>
                <w:sz w:val="18"/>
                <w:szCs w:val="18"/>
              </w:rPr>
              <w:t>Income and expenditure accounts only:</w:t>
            </w:r>
            <w:r w:rsidRPr="00681DA1">
              <w:rPr>
                <w:rFonts w:cs="Arial"/>
                <w:sz w:val="18"/>
                <w:szCs w:val="18"/>
              </w:rPr>
              <w:t xml:space="preserve"> Enter the value of monies owed by the body (except borrowing) at the year-end.</w:t>
            </w:r>
          </w:p>
        </w:tc>
      </w:tr>
      <w:tr w:rsidR="00051DBD" w:rsidRPr="00681DA1" w:rsidTr="00681DA1">
        <w:trPr>
          <w:trHeight w:val="189"/>
        </w:trPr>
        <w:tc>
          <w:tcPr>
            <w:tcW w:w="1929" w:type="dxa"/>
            <w:shd w:val="clear" w:color="auto" w:fill="FFFFFF"/>
          </w:tcPr>
          <w:p w:rsidR="00051DBD" w:rsidRPr="00681DA1" w:rsidRDefault="00051DBD" w:rsidP="00051DBD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(=) Balances carried forward</w:t>
            </w:r>
          </w:p>
        </w:tc>
        <w:tc>
          <w:tcPr>
            <w:tcW w:w="1498" w:type="dxa"/>
            <w:shd w:val="clear" w:color="auto" w:fill="F2DBDB"/>
          </w:tcPr>
          <w:p w:rsidR="00051DBD" w:rsidRDefault="00760B32" w:rsidP="00051DBD">
            <w:pPr>
              <w:jc w:val="right"/>
            </w:pPr>
            <w:r>
              <w:rPr>
                <w:rFonts w:cs="Arial"/>
                <w:sz w:val="18"/>
                <w:szCs w:val="18"/>
              </w:rPr>
              <w:t>92,363</w:t>
            </w:r>
          </w:p>
        </w:tc>
        <w:tc>
          <w:tcPr>
            <w:tcW w:w="1575" w:type="dxa"/>
            <w:shd w:val="clear" w:color="auto" w:fill="F2DBDB"/>
          </w:tcPr>
          <w:p w:rsidR="00051DBD" w:rsidRDefault="00D16651" w:rsidP="00BE2A13">
            <w:pPr>
              <w:jc w:val="right"/>
            </w:pPr>
            <w:r>
              <w:rPr>
                <w:rFonts w:cs="Arial"/>
                <w:sz w:val="18"/>
                <w:szCs w:val="18"/>
              </w:rPr>
              <w:t>29,6</w:t>
            </w:r>
            <w:r w:rsidR="00BE2A1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5490" w:type="dxa"/>
            <w:shd w:val="clear" w:color="auto" w:fill="FFFFFF"/>
          </w:tcPr>
          <w:p w:rsidR="00051DBD" w:rsidRPr="00681DA1" w:rsidRDefault="00051DBD" w:rsidP="00051DBD">
            <w:pPr>
              <w:spacing w:before="40" w:after="40" w:line="240" w:lineRule="atLeas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 balances should equal l</w:t>
            </w:r>
            <w:r w:rsidRPr="00681DA1">
              <w:rPr>
                <w:rFonts w:cs="Arial"/>
                <w:b/>
                <w:bCs/>
                <w:sz w:val="18"/>
                <w:szCs w:val="18"/>
              </w:rPr>
              <w:t xml:space="preserve">ine 7 above: </w:t>
            </w:r>
            <w:r w:rsidRPr="00681DA1">
              <w:rPr>
                <w:rFonts w:cs="Arial"/>
                <w:bCs/>
                <w:sz w:val="18"/>
                <w:szCs w:val="18"/>
              </w:rPr>
              <w:t>Enter the total of (8+9-10).</w:t>
            </w:r>
          </w:p>
        </w:tc>
      </w:tr>
      <w:tr w:rsidR="00051DBD" w:rsidRPr="00681DA1" w:rsidTr="00681DA1">
        <w:trPr>
          <w:trHeight w:val="410"/>
        </w:trPr>
        <w:tc>
          <w:tcPr>
            <w:tcW w:w="1929" w:type="dxa"/>
            <w:shd w:val="clear" w:color="auto" w:fill="FFFFFF"/>
          </w:tcPr>
          <w:p w:rsidR="00051DBD" w:rsidRPr="00681DA1" w:rsidRDefault="00051DBD" w:rsidP="00051DBD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 xml:space="preserve">Total fixed assets and </w:t>
            </w:r>
            <w:r w:rsidRPr="00681DA1">
              <w:rPr>
                <w:rFonts w:cs="Arial"/>
                <w:sz w:val="18"/>
                <w:szCs w:val="18"/>
              </w:rPr>
              <w:br/>
              <w:t>long-term assets</w:t>
            </w:r>
          </w:p>
        </w:tc>
        <w:tc>
          <w:tcPr>
            <w:tcW w:w="1498" w:type="dxa"/>
            <w:shd w:val="clear" w:color="auto" w:fill="F2DBDB"/>
          </w:tcPr>
          <w:p w:rsidR="00051DBD" w:rsidRDefault="00760B32" w:rsidP="00051DBD">
            <w:pPr>
              <w:jc w:val="right"/>
            </w:pPr>
            <w:r>
              <w:rPr>
                <w:rFonts w:cs="Arial"/>
                <w:sz w:val="18"/>
                <w:szCs w:val="18"/>
              </w:rPr>
              <w:t>473,148</w:t>
            </w:r>
          </w:p>
        </w:tc>
        <w:tc>
          <w:tcPr>
            <w:tcW w:w="1575" w:type="dxa"/>
            <w:shd w:val="clear" w:color="auto" w:fill="F2DBDB"/>
          </w:tcPr>
          <w:p w:rsidR="00051DBD" w:rsidRDefault="00D16651" w:rsidP="00051DBD">
            <w:pPr>
              <w:jc w:val="right"/>
            </w:pPr>
            <w:r>
              <w:rPr>
                <w:rFonts w:cs="Arial"/>
                <w:sz w:val="18"/>
                <w:szCs w:val="18"/>
              </w:rPr>
              <w:t>555,135</w:t>
            </w:r>
          </w:p>
        </w:tc>
        <w:tc>
          <w:tcPr>
            <w:tcW w:w="5490" w:type="dxa"/>
            <w:shd w:val="clear" w:color="auto" w:fill="FFFFFF"/>
          </w:tcPr>
          <w:p w:rsidR="00051DBD" w:rsidRPr="00681DA1" w:rsidRDefault="00051DBD" w:rsidP="00051DBD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The asset and investment register value of all fixed assets and any other long-term assets held as at 31 March.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51DBD" w:rsidRPr="00681DA1" w:rsidTr="00681DA1">
        <w:trPr>
          <w:trHeight w:val="278"/>
        </w:trPr>
        <w:tc>
          <w:tcPr>
            <w:tcW w:w="1929" w:type="dxa"/>
            <w:shd w:val="clear" w:color="auto" w:fill="FFFFFF"/>
          </w:tcPr>
          <w:p w:rsidR="00051DBD" w:rsidRPr="00681DA1" w:rsidRDefault="00051DBD" w:rsidP="00051DBD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Total borrowing</w:t>
            </w:r>
          </w:p>
        </w:tc>
        <w:tc>
          <w:tcPr>
            <w:tcW w:w="1498" w:type="dxa"/>
            <w:tcBorders>
              <w:bottom w:val="single" w:sz="8" w:space="0" w:color="BFBFBF"/>
            </w:tcBorders>
            <w:shd w:val="clear" w:color="auto" w:fill="F2DBDB"/>
          </w:tcPr>
          <w:p w:rsidR="00051DBD" w:rsidRDefault="00051DBD" w:rsidP="00051DBD">
            <w:pPr>
              <w:jc w:val="right"/>
            </w:pPr>
            <w:r w:rsidRPr="00907DF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907DF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07DF9">
              <w:rPr>
                <w:rFonts w:cs="Arial"/>
                <w:sz w:val="18"/>
                <w:szCs w:val="18"/>
              </w:rPr>
            </w:r>
            <w:r w:rsidRPr="00907DF9">
              <w:rPr>
                <w:rFonts w:cs="Arial"/>
                <w:sz w:val="18"/>
                <w:szCs w:val="18"/>
              </w:rPr>
              <w:fldChar w:fldCharType="separate"/>
            </w:r>
            <w:r w:rsidRPr="00907DF9">
              <w:rPr>
                <w:rFonts w:cs="Arial"/>
                <w:noProof/>
                <w:sz w:val="18"/>
                <w:szCs w:val="18"/>
              </w:rPr>
              <w:t>0</w:t>
            </w:r>
            <w:r w:rsidRPr="00907DF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bottom w:val="single" w:sz="8" w:space="0" w:color="BFBFBF"/>
            </w:tcBorders>
            <w:shd w:val="clear" w:color="auto" w:fill="F2DBDB"/>
          </w:tcPr>
          <w:p w:rsidR="00051DBD" w:rsidRDefault="00051DBD" w:rsidP="00051DBD">
            <w:pPr>
              <w:jc w:val="right"/>
            </w:pPr>
            <w:r w:rsidRPr="00907DF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907DF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07DF9">
              <w:rPr>
                <w:rFonts w:cs="Arial"/>
                <w:sz w:val="18"/>
                <w:szCs w:val="18"/>
              </w:rPr>
            </w:r>
            <w:r w:rsidRPr="00907DF9">
              <w:rPr>
                <w:rFonts w:cs="Arial"/>
                <w:sz w:val="18"/>
                <w:szCs w:val="18"/>
              </w:rPr>
              <w:fldChar w:fldCharType="separate"/>
            </w:r>
            <w:r w:rsidRPr="00907DF9">
              <w:rPr>
                <w:rFonts w:cs="Arial"/>
                <w:noProof/>
                <w:sz w:val="18"/>
                <w:szCs w:val="18"/>
              </w:rPr>
              <w:t>0</w:t>
            </w:r>
            <w:r w:rsidRPr="00907DF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90" w:type="dxa"/>
            <w:shd w:val="clear" w:color="auto" w:fill="FFFFFF"/>
          </w:tcPr>
          <w:p w:rsidR="00051DBD" w:rsidRPr="00681DA1" w:rsidRDefault="00051DBD" w:rsidP="00051DBD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 xml:space="preserve">The outstanding capital balance as at 31 March of all loans from third parties (including </w:t>
            </w:r>
            <w:proofErr w:type="spellStart"/>
            <w:r w:rsidRPr="00681DA1">
              <w:rPr>
                <w:rFonts w:cs="Arial"/>
                <w:sz w:val="18"/>
                <w:szCs w:val="18"/>
              </w:rPr>
              <w:t>PWLB</w:t>
            </w:r>
            <w:proofErr w:type="spellEnd"/>
            <w:r w:rsidRPr="00681DA1">
              <w:rPr>
                <w:rFonts w:cs="Arial"/>
                <w:sz w:val="18"/>
                <w:szCs w:val="18"/>
              </w:rPr>
              <w:t>).</w:t>
            </w:r>
          </w:p>
        </w:tc>
      </w:tr>
    </w:tbl>
    <w:p w:rsidR="006D40C7" w:rsidRPr="000113D8" w:rsidRDefault="006D40C7" w:rsidP="000113D8">
      <w:pPr>
        <w:spacing w:before="0" w:after="0" w:line="240" w:lineRule="atLeast"/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20"/>
        <w:gridCol w:w="560"/>
        <w:gridCol w:w="504"/>
        <w:gridCol w:w="602"/>
        <w:gridCol w:w="560"/>
        <w:gridCol w:w="518"/>
        <w:gridCol w:w="532"/>
        <w:gridCol w:w="5394"/>
      </w:tblGrid>
      <w:tr w:rsidR="00EC1607" w:rsidRPr="00681DA1" w:rsidTr="00F41123">
        <w:trPr>
          <w:trHeight w:val="20"/>
        </w:trPr>
        <w:tc>
          <w:tcPr>
            <w:tcW w:w="1820" w:type="dxa"/>
            <w:vMerge w:val="restart"/>
            <w:shd w:val="clear" w:color="auto" w:fill="FFFFFF"/>
          </w:tcPr>
          <w:p w:rsidR="002F7DDD" w:rsidRPr="00681DA1" w:rsidRDefault="002F7DDD" w:rsidP="000405BE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bCs/>
                <w:sz w:val="18"/>
                <w:szCs w:val="18"/>
              </w:rPr>
              <w:t>Trust funds disclosure note</w:t>
            </w:r>
          </w:p>
        </w:tc>
        <w:tc>
          <w:tcPr>
            <w:tcW w:w="560" w:type="dxa"/>
            <w:tcBorders>
              <w:bottom w:val="single" w:sz="8" w:space="0" w:color="BFBFBF"/>
            </w:tcBorders>
            <w:shd w:val="clear" w:color="auto" w:fill="B01717"/>
          </w:tcPr>
          <w:p w:rsidR="002F7DDD" w:rsidRPr="00681DA1" w:rsidRDefault="002F7DDD" w:rsidP="000405BE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04" w:type="dxa"/>
            <w:tcBorders>
              <w:bottom w:val="single" w:sz="8" w:space="0" w:color="BFBFBF"/>
            </w:tcBorders>
            <w:shd w:val="clear" w:color="auto" w:fill="B01717"/>
          </w:tcPr>
          <w:p w:rsidR="002F7DDD" w:rsidRPr="00681DA1" w:rsidRDefault="002F7DDD" w:rsidP="000405BE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602" w:type="dxa"/>
            <w:tcBorders>
              <w:bottom w:val="single" w:sz="8" w:space="0" w:color="BFBFBF"/>
            </w:tcBorders>
            <w:shd w:val="clear" w:color="auto" w:fill="B01717"/>
          </w:tcPr>
          <w:p w:rsidR="002F7DDD" w:rsidRPr="00681DA1" w:rsidRDefault="002F7DDD" w:rsidP="000405BE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60" w:type="dxa"/>
            <w:tcBorders>
              <w:bottom w:val="single" w:sz="8" w:space="0" w:color="BFBFBF"/>
            </w:tcBorders>
            <w:shd w:val="clear" w:color="auto" w:fill="B01717"/>
          </w:tcPr>
          <w:p w:rsidR="002F7DDD" w:rsidRPr="00681DA1" w:rsidRDefault="002F7DDD" w:rsidP="000405BE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18" w:type="dxa"/>
            <w:tcBorders>
              <w:bottom w:val="single" w:sz="8" w:space="0" w:color="BFBFBF"/>
            </w:tcBorders>
            <w:shd w:val="clear" w:color="auto" w:fill="B01717"/>
          </w:tcPr>
          <w:p w:rsidR="002F7DDD" w:rsidRPr="00681DA1" w:rsidRDefault="002F7DDD" w:rsidP="000405BE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32" w:type="dxa"/>
            <w:tcBorders>
              <w:bottom w:val="single" w:sz="8" w:space="0" w:color="BFBFBF"/>
            </w:tcBorders>
            <w:shd w:val="clear" w:color="auto" w:fill="B01717"/>
          </w:tcPr>
          <w:p w:rsidR="002F7DDD" w:rsidRPr="00681DA1" w:rsidRDefault="002F7DDD" w:rsidP="000405BE">
            <w:pPr>
              <w:spacing w:before="40" w:after="40" w:line="240" w:lineRule="atLeast"/>
              <w:rPr>
                <w:rFonts w:cs="Arial"/>
                <w:b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394" w:type="dxa"/>
            <w:vMerge w:val="restart"/>
            <w:shd w:val="clear" w:color="auto" w:fill="FFFFFF"/>
          </w:tcPr>
          <w:p w:rsidR="002F7DDD" w:rsidRPr="00681DA1" w:rsidRDefault="002F7DDD" w:rsidP="00F045BA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 xml:space="preserve">The </w:t>
            </w:r>
            <w:r w:rsidR="00085A5B">
              <w:rPr>
                <w:rFonts w:cs="Arial"/>
                <w:sz w:val="18"/>
                <w:szCs w:val="18"/>
              </w:rPr>
              <w:t>b</w:t>
            </w:r>
            <w:r w:rsidR="00F045BA">
              <w:rPr>
                <w:rFonts w:cs="Arial"/>
                <w:sz w:val="18"/>
                <w:szCs w:val="18"/>
              </w:rPr>
              <w:t>ody</w:t>
            </w:r>
            <w:r w:rsidRPr="00681DA1">
              <w:rPr>
                <w:rFonts w:cs="Arial"/>
                <w:sz w:val="18"/>
                <w:szCs w:val="18"/>
              </w:rPr>
              <w:t xml:space="preserve"> acts as sole trustee for and is responsible for managing (a) trust fund(s)/assets (readers should note that the figures above do not include any trust transactions).</w:t>
            </w:r>
          </w:p>
        </w:tc>
      </w:tr>
      <w:tr w:rsidR="00F41123" w:rsidRPr="00681DA1" w:rsidTr="00F41123">
        <w:trPr>
          <w:trHeight w:val="60"/>
        </w:trPr>
        <w:tc>
          <w:tcPr>
            <w:tcW w:w="1820" w:type="dxa"/>
            <w:vMerge/>
            <w:shd w:val="clear" w:color="auto" w:fill="FFFFFF"/>
          </w:tcPr>
          <w:p w:rsidR="00F41123" w:rsidRPr="00681DA1" w:rsidRDefault="00F41123" w:rsidP="00F41123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2DBDB"/>
            <w:vAlign w:val="center"/>
          </w:tcPr>
          <w:p w:rsidR="00F41123" w:rsidRPr="00681DA1" w:rsidRDefault="00F41123" w:rsidP="00F41123">
            <w:pPr>
              <w:spacing w:before="0" w:after="0"/>
              <w:jc w:val="center"/>
            </w:pPr>
            <w:r w:rsidRPr="00681DA1">
              <w:rPr>
                <w:rFonts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5pt;height:19.5pt" o:ole="" filled="t" fillcolor="#f2dbdb">
                  <v:imagedata r:id="rId11" o:title=""/>
                </v:shape>
                <w:control r:id="rId12" w:name="OptionButton13912" w:shapeid="_x0000_i1037"/>
              </w:object>
            </w:r>
          </w:p>
        </w:tc>
        <w:tc>
          <w:tcPr>
            <w:tcW w:w="504" w:type="dxa"/>
            <w:shd w:val="clear" w:color="auto" w:fill="F2DBDB"/>
            <w:vAlign w:val="center"/>
          </w:tcPr>
          <w:p w:rsidR="00F41123" w:rsidRPr="00681DA1" w:rsidRDefault="00F41123" w:rsidP="00F41123">
            <w:pPr>
              <w:spacing w:before="0" w:after="0"/>
              <w:jc w:val="center"/>
            </w:pPr>
            <w:r w:rsidRPr="00681DA1">
              <w:rPr>
                <w:rFonts w:cs="Arial"/>
                <w:sz w:val="18"/>
                <w:szCs w:val="18"/>
              </w:rPr>
              <w:object w:dxaOrig="225" w:dyaOrig="225">
                <v:shape id="_x0000_i1039" type="#_x0000_t75" style="width:13.5pt;height:19.5pt" o:ole="" filled="t" fillcolor="#f2dbdb">
                  <v:imagedata r:id="rId13" o:title=""/>
                </v:shape>
                <w:control r:id="rId14" w:name="OptionButton1391" w:shapeid="_x0000_i1039"/>
              </w:object>
            </w:r>
          </w:p>
        </w:tc>
        <w:tc>
          <w:tcPr>
            <w:tcW w:w="602" w:type="dxa"/>
            <w:shd w:val="clear" w:color="auto" w:fill="F2DBDB"/>
            <w:vAlign w:val="center"/>
          </w:tcPr>
          <w:p w:rsidR="00F41123" w:rsidRPr="00681DA1" w:rsidRDefault="00F41123" w:rsidP="00F41123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object w:dxaOrig="225" w:dyaOrig="225">
                <v:shape id="_x0000_i1041" type="#_x0000_t75" style="width:13.5pt;height:19.5pt" o:ole="" filled="t" fillcolor="#f2dbdb">
                  <v:imagedata r:id="rId15" o:title=""/>
                </v:shape>
                <w:control r:id="rId16" w:name="OptionButton13911" w:shapeid="_x0000_i1041"/>
              </w:object>
            </w:r>
          </w:p>
        </w:tc>
        <w:tc>
          <w:tcPr>
            <w:tcW w:w="560" w:type="dxa"/>
            <w:shd w:val="clear" w:color="auto" w:fill="F2DBDB"/>
            <w:vAlign w:val="center"/>
          </w:tcPr>
          <w:p w:rsidR="00F41123" w:rsidRPr="00681DA1" w:rsidRDefault="00F41123" w:rsidP="00F41123">
            <w:pPr>
              <w:spacing w:before="0" w:after="0"/>
              <w:jc w:val="center"/>
            </w:pPr>
            <w:r w:rsidRPr="00681DA1">
              <w:rPr>
                <w:rFonts w:cs="Arial"/>
                <w:sz w:val="18"/>
                <w:szCs w:val="18"/>
              </w:rPr>
              <w:object w:dxaOrig="225" w:dyaOrig="225">
                <v:shape id="_x0000_i1043" type="#_x0000_t75" style="width:13.5pt;height:19.5pt" o:ole="" filled="t" fillcolor="#f2dbdb">
                  <v:imagedata r:id="rId17" o:title=""/>
                </v:shape>
                <w:control r:id="rId18" w:name="OptionButton1392" w:shapeid="_x0000_i1043"/>
              </w:object>
            </w:r>
          </w:p>
        </w:tc>
        <w:tc>
          <w:tcPr>
            <w:tcW w:w="518" w:type="dxa"/>
            <w:shd w:val="clear" w:color="auto" w:fill="F2DBDB"/>
            <w:vAlign w:val="center"/>
          </w:tcPr>
          <w:p w:rsidR="00F41123" w:rsidRPr="00681DA1" w:rsidRDefault="00F41123" w:rsidP="00F41123">
            <w:pPr>
              <w:spacing w:before="0" w:after="0"/>
              <w:jc w:val="center"/>
            </w:pPr>
            <w:r w:rsidRPr="00681DA1">
              <w:rPr>
                <w:rFonts w:cs="Arial"/>
                <w:sz w:val="18"/>
                <w:szCs w:val="18"/>
              </w:rPr>
              <w:object w:dxaOrig="225" w:dyaOrig="225">
                <v:shape id="_x0000_i1045" type="#_x0000_t75" style="width:13.5pt;height:19.5pt" o:ole="" filled="t" fillcolor="#f2dbdb">
                  <v:imagedata r:id="rId19" o:title=""/>
                </v:shape>
                <w:control r:id="rId20" w:name="OptionButton1393" w:shapeid="_x0000_i1045"/>
              </w:object>
            </w:r>
          </w:p>
        </w:tc>
        <w:tc>
          <w:tcPr>
            <w:tcW w:w="532" w:type="dxa"/>
            <w:shd w:val="clear" w:color="auto" w:fill="F2DBDB"/>
            <w:vAlign w:val="center"/>
          </w:tcPr>
          <w:p w:rsidR="00F41123" w:rsidRPr="00681DA1" w:rsidRDefault="00F41123" w:rsidP="00F41123">
            <w:pPr>
              <w:spacing w:before="0" w:after="0"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object w:dxaOrig="225" w:dyaOrig="225">
                <v:shape id="_x0000_i1047" type="#_x0000_t75" style="width:13.5pt;height:19.5pt" o:ole="" filled="t" fillcolor="#f2dbdb">
                  <v:imagedata r:id="rId21" o:title=""/>
                </v:shape>
                <w:control r:id="rId22" w:name="OptionButton13931" w:shapeid="_x0000_i1047"/>
              </w:object>
            </w:r>
          </w:p>
        </w:tc>
        <w:tc>
          <w:tcPr>
            <w:tcW w:w="5394" w:type="dxa"/>
            <w:vMerge/>
            <w:shd w:val="clear" w:color="auto" w:fill="FFFFFF"/>
          </w:tcPr>
          <w:p w:rsidR="00F41123" w:rsidRPr="00681DA1" w:rsidRDefault="00F41123" w:rsidP="00F41123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6D40C7" w:rsidRDefault="006D40C7" w:rsidP="006B4C6B">
      <w:pPr>
        <w:spacing w:before="20" w:after="20" w:line="240" w:lineRule="atLeast"/>
        <w:rPr>
          <w:szCs w:val="20"/>
        </w:rPr>
      </w:pPr>
    </w:p>
    <w:p w:rsidR="004352ED" w:rsidRPr="009E1107" w:rsidRDefault="004352ED" w:rsidP="0082385B">
      <w:pPr>
        <w:rPr>
          <w:color w:val="FF0000"/>
          <w:szCs w:val="20"/>
        </w:rPr>
      </w:pPr>
    </w:p>
    <w:sectPr w:rsidR="004352ED" w:rsidRPr="009E1107" w:rsidSect="008B2C55">
      <w:headerReference w:type="even" r:id="rId23"/>
      <w:headerReference w:type="default" r:id="rId24"/>
      <w:headerReference w:type="first" r:id="rId25"/>
      <w:pgSz w:w="11906" w:h="16838"/>
      <w:pgMar w:top="720" w:right="720" w:bottom="720" w:left="720" w:header="284" w:footer="39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9EECDC" w15:done="0"/>
  <w15:commentEx w15:paraId="735164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54" w:rsidRDefault="00251B54" w:rsidP="00FB2158">
      <w:pPr>
        <w:spacing w:before="0" w:after="0" w:line="240" w:lineRule="auto"/>
      </w:pPr>
      <w:r>
        <w:separator/>
      </w:r>
    </w:p>
  </w:endnote>
  <w:endnote w:type="continuationSeparator" w:id="0">
    <w:p w:rsidR="00251B54" w:rsidRDefault="00251B54" w:rsidP="00FB21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54" w:rsidRDefault="00251B54" w:rsidP="00FB2158">
      <w:pPr>
        <w:spacing w:before="0" w:after="0" w:line="240" w:lineRule="auto"/>
      </w:pPr>
      <w:r>
        <w:separator/>
      </w:r>
    </w:p>
  </w:footnote>
  <w:footnote w:type="continuationSeparator" w:id="0">
    <w:p w:rsidR="00251B54" w:rsidRDefault="00251B54" w:rsidP="00FB21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54" w:rsidRDefault="0028525E">
    <w:pPr>
      <w:pStyle w:val="Header"/>
    </w:pPr>
    <w:r>
      <w:rPr>
        <w:noProof/>
      </w:rPr>
      <w:pict w14:anchorId="0CC198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06010" o:spid="_x0000_s2054" type="#_x0000_t136" style="position:absolute;margin-left:0;margin-top:0;width:645.5pt;height:92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pecimen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54" w:rsidRDefault="00251B54" w:rsidP="00CD7245">
    <w:pPr>
      <w:pStyle w:val="Header"/>
      <w:spacing w:after="120"/>
    </w:pPr>
  </w:p>
  <w:p w:rsidR="00251B54" w:rsidRPr="00CD7245" w:rsidRDefault="00251B54" w:rsidP="00CD72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54" w:rsidRDefault="00251B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06D"/>
    <w:multiLevelType w:val="hybridMultilevel"/>
    <w:tmpl w:val="AE707E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4162"/>
    <w:multiLevelType w:val="hybridMultilevel"/>
    <w:tmpl w:val="E090AC30"/>
    <w:lvl w:ilvl="0" w:tplc="3F70F7DA">
      <w:start w:val="1"/>
      <w:numFmt w:val="bullet"/>
      <w:pStyle w:val="APrecommendationbullets"/>
      <w:lvlText w:val=""/>
      <w:lvlJc w:val="left"/>
      <w:pPr>
        <w:ind w:left="737" w:hanging="283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>
    <w:nsid w:val="033D6DFE"/>
    <w:multiLevelType w:val="hybridMultilevel"/>
    <w:tmpl w:val="19D43132"/>
    <w:lvl w:ilvl="0" w:tplc="984047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00297"/>
    <w:multiLevelType w:val="hybridMultilevel"/>
    <w:tmpl w:val="54604846"/>
    <w:lvl w:ilvl="0" w:tplc="72D4A64C">
      <w:start w:val="1"/>
      <w:numFmt w:val="bullet"/>
      <w:pStyle w:val="Sub-bullets"/>
      <w:lvlText w:val="‒"/>
      <w:lvlJc w:val="left"/>
      <w:pPr>
        <w:ind w:left="1701" w:hanging="567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07BA"/>
    <w:multiLevelType w:val="hybridMultilevel"/>
    <w:tmpl w:val="C1186D5E"/>
    <w:lvl w:ilvl="0" w:tplc="1EBEE518">
      <w:start w:val="1"/>
      <w:numFmt w:val="bullet"/>
      <w:pStyle w:val="Tablebullets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6EA1"/>
    <w:multiLevelType w:val="hybridMultilevel"/>
    <w:tmpl w:val="51B053EA"/>
    <w:lvl w:ilvl="0" w:tplc="CF8A6736">
      <w:start w:val="1"/>
      <w:numFmt w:val="bullet"/>
      <w:lvlText w:val="‒"/>
      <w:lvlJc w:val="left"/>
      <w:pPr>
        <w:ind w:left="1701" w:hanging="56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8024B"/>
    <w:multiLevelType w:val="hybridMultilevel"/>
    <w:tmpl w:val="81F29020"/>
    <w:lvl w:ilvl="0" w:tplc="A67A0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7">
    <w:nsid w:val="2CED47BC"/>
    <w:multiLevelType w:val="singleLevel"/>
    <w:tmpl w:val="FF0C0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>
    <w:nsid w:val="2D38059A"/>
    <w:multiLevelType w:val="hybridMultilevel"/>
    <w:tmpl w:val="9FAAD29A"/>
    <w:lvl w:ilvl="0" w:tplc="DEE0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0CA1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284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56B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EF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62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EC1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EE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C5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56241"/>
    <w:multiLevelType w:val="hybridMultilevel"/>
    <w:tmpl w:val="E206AC2E"/>
    <w:lvl w:ilvl="0" w:tplc="8BDE6882">
      <w:start w:val="1"/>
      <w:numFmt w:val="bullet"/>
      <w:pStyle w:val="Recommendationbullets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AD7EC2"/>
    <w:multiLevelType w:val="hybridMultilevel"/>
    <w:tmpl w:val="79C61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487334"/>
    <w:multiLevelType w:val="hybridMultilevel"/>
    <w:tmpl w:val="F44246AA"/>
    <w:lvl w:ilvl="0" w:tplc="8570C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0470C"/>
    <w:multiLevelType w:val="hybridMultilevel"/>
    <w:tmpl w:val="4A9CA79C"/>
    <w:lvl w:ilvl="0" w:tplc="F66C21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5115D"/>
    <w:multiLevelType w:val="hybridMultilevel"/>
    <w:tmpl w:val="8D50B20A"/>
    <w:lvl w:ilvl="0" w:tplc="08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4">
    <w:nsid w:val="4AF56040"/>
    <w:multiLevelType w:val="hybridMultilevel"/>
    <w:tmpl w:val="89CAADD8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06A30C7"/>
    <w:multiLevelType w:val="hybridMultilevel"/>
    <w:tmpl w:val="70FE4A74"/>
    <w:lvl w:ilvl="0" w:tplc="808AB0FE">
      <w:start w:val="1"/>
      <w:numFmt w:val="bullet"/>
      <w:pStyle w:val="Tablesub-bullets"/>
      <w:lvlText w:val="‒"/>
      <w:lvlJc w:val="left"/>
      <w:pPr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37E44"/>
    <w:multiLevelType w:val="hybridMultilevel"/>
    <w:tmpl w:val="877E8132"/>
    <w:lvl w:ilvl="0" w:tplc="C43EF7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B01717"/>
        <w:sz w:val="20"/>
        <w:szCs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FD1859"/>
    <w:multiLevelType w:val="hybridMultilevel"/>
    <w:tmpl w:val="C1D6C626"/>
    <w:lvl w:ilvl="0" w:tplc="EB92C330">
      <w:start w:val="1"/>
      <w:numFmt w:val="decimal"/>
      <w:pStyle w:val="Numberedtext"/>
      <w:lvlText w:val="%1."/>
      <w:lvlJc w:val="left"/>
      <w:pPr>
        <w:ind w:left="567" w:hanging="567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325D8"/>
    <w:multiLevelType w:val="hybridMultilevel"/>
    <w:tmpl w:val="A1B08B38"/>
    <w:lvl w:ilvl="0" w:tplc="507E5E1A">
      <w:start w:val="1"/>
      <w:numFmt w:val="bullet"/>
      <w:pStyle w:val="Bullets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2271AC"/>
    <w:multiLevelType w:val="hybridMultilevel"/>
    <w:tmpl w:val="48BA8C00"/>
    <w:lvl w:ilvl="0" w:tplc="58FC1CF0">
      <w:start w:val="1"/>
      <w:numFmt w:val="bullet"/>
      <w:pStyle w:val="Appendixbullets"/>
      <w:lvlText w:val=""/>
      <w:lvlJc w:val="left"/>
      <w:pPr>
        <w:ind w:left="567" w:hanging="567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E56CB"/>
    <w:multiLevelType w:val="hybridMultilevel"/>
    <w:tmpl w:val="B3C41B52"/>
    <w:lvl w:ilvl="0" w:tplc="60E6D884">
      <w:start w:val="1"/>
      <w:numFmt w:val="bullet"/>
      <w:pStyle w:val="APrecommendationsub-bullets"/>
      <w:lvlText w:val="‒"/>
      <w:lvlJc w:val="left"/>
      <w:pPr>
        <w:ind w:left="1021" w:hanging="284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B5CB2"/>
    <w:multiLevelType w:val="hybridMultilevel"/>
    <w:tmpl w:val="A1C8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3543B"/>
    <w:multiLevelType w:val="hybridMultilevel"/>
    <w:tmpl w:val="B3123CC2"/>
    <w:lvl w:ilvl="0" w:tplc="541C4792">
      <w:start w:val="1"/>
      <w:numFmt w:val="bullet"/>
      <w:pStyle w:val="Appendixsub-bullets"/>
      <w:lvlText w:val="‒"/>
      <w:lvlJc w:val="left"/>
      <w:pPr>
        <w:ind w:left="1134" w:hanging="567"/>
      </w:pPr>
      <w:rPr>
        <w:rFonts w:ascii="Arial" w:hAnsi="Aria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F4C50"/>
    <w:multiLevelType w:val="hybridMultilevel"/>
    <w:tmpl w:val="12D6EA2C"/>
    <w:lvl w:ilvl="0" w:tplc="37C4DF66">
      <w:start w:val="1"/>
      <w:numFmt w:val="bullet"/>
      <w:pStyle w:val="Recommendationsub-bullets"/>
      <w:lvlText w:val="‒"/>
      <w:lvlJc w:val="left"/>
      <w:pPr>
        <w:ind w:left="1701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92A0E"/>
    <w:multiLevelType w:val="hybridMultilevel"/>
    <w:tmpl w:val="64465698"/>
    <w:lvl w:ilvl="0" w:tplc="9E140A1E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0"/>
  </w:num>
  <w:num w:numId="5">
    <w:abstractNumId w:val="19"/>
  </w:num>
  <w:num w:numId="6">
    <w:abstractNumId w:val="22"/>
  </w:num>
  <w:num w:numId="7">
    <w:abstractNumId w:val="18"/>
  </w:num>
  <w:num w:numId="8">
    <w:abstractNumId w:val="17"/>
  </w:num>
  <w:num w:numId="9">
    <w:abstractNumId w:val="4"/>
  </w:num>
  <w:num w:numId="10">
    <w:abstractNumId w:val="9"/>
  </w:num>
  <w:num w:numId="11">
    <w:abstractNumId w:val="23"/>
  </w:num>
  <w:num w:numId="12">
    <w:abstractNumId w:val="3"/>
  </w:num>
  <w:num w:numId="13">
    <w:abstractNumId w:val="15"/>
  </w:num>
  <w:num w:numId="14">
    <w:abstractNumId w:val="5"/>
  </w:num>
  <w:num w:numId="15">
    <w:abstractNumId w:val="24"/>
  </w:num>
  <w:num w:numId="16">
    <w:abstractNumId w:val="8"/>
  </w:num>
  <w:num w:numId="17">
    <w:abstractNumId w:val="2"/>
  </w:num>
  <w:num w:numId="18">
    <w:abstractNumId w:val="1"/>
  </w:num>
  <w:num w:numId="19">
    <w:abstractNumId w:val="20"/>
  </w:num>
  <w:num w:numId="20">
    <w:abstractNumId w:val="19"/>
  </w:num>
  <w:num w:numId="21">
    <w:abstractNumId w:val="22"/>
  </w:num>
  <w:num w:numId="22">
    <w:abstractNumId w:val="18"/>
  </w:num>
  <w:num w:numId="23">
    <w:abstractNumId w:val="17"/>
  </w:num>
  <w:num w:numId="24">
    <w:abstractNumId w:val="4"/>
  </w:num>
  <w:num w:numId="25">
    <w:abstractNumId w:val="9"/>
  </w:num>
  <w:num w:numId="26">
    <w:abstractNumId w:val="23"/>
  </w:num>
  <w:num w:numId="27">
    <w:abstractNumId w:val="3"/>
  </w:num>
  <w:num w:numId="28">
    <w:abstractNumId w:val="15"/>
  </w:num>
  <w:num w:numId="29">
    <w:abstractNumId w:val="7"/>
  </w:num>
  <w:num w:numId="30">
    <w:abstractNumId w:val="6"/>
  </w:num>
  <w:num w:numId="31">
    <w:abstractNumId w:val="16"/>
  </w:num>
  <w:num w:numId="32">
    <w:abstractNumId w:val="14"/>
  </w:num>
  <w:num w:numId="33">
    <w:abstractNumId w:val="13"/>
  </w:num>
  <w:num w:numId="34">
    <w:abstractNumId w:val="0"/>
  </w:num>
  <w:num w:numId="35">
    <w:abstractNumId w:val="11"/>
  </w:num>
  <w:num w:numId="36">
    <w:abstractNumId w:val="12"/>
  </w:num>
  <w:num w:numId="37">
    <w:abstractNumId w:val="10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ryck Evans">
    <w15:presenceInfo w15:providerId="AD" w15:userId="S::dj-evans@wao.gov.uk::4c7d548d-a26d-4ef9-be61-5c03650c76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0A"/>
    <w:rsid w:val="000113D8"/>
    <w:rsid w:val="00012297"/>
    <w:rsid w:val="00023E55"/>
    <w:rsid w:val="00031B80"/>
    <w:rsid w:val="000324CB"/>
    <w:rsid w:val="00033B98"/>
    <w:rsid w:val="00033D08"/>
    <w:rsid w:val="000405BE"/>
    <w:rsid w:val="00041467"/>
    <w:rsid w:val="00046892"/>
    <w:rsid w:val="00050876"/>
    <w:rsid w:val="00051DBD"/>
    <w:rsid w:val="00053BA0"/>
    <w:rsid w:val="000544EF"/>
    <w:rsid w:val="00055CCD"/>
    <w:rsid w:val="00056B60"/>
    <w:rsid w:val="00060682"/>
    <w:rsid w:val="000708A8"/>
    <w:rsid w:val="0007259D"/>
    <w:rsid w:val="00083DC9"/>
    <w:rsid w:val="00085A5B"/>
    <w:rsid w:val="00091420"/>
    <w:rsid w:val="00093854"/>
    <w:rsid w:val="0009502C"/>
    <w:rsid w:val="000976EA"/>
    <w:rsid w:val="000A5C11"/>
    <w:rsid w:val="000B1272"/>
    <w:rsid w:val="000B1BA1"/>
    <w:rsid w:val="000C448C"/>
    <w:rsid w:val="000D176A"/>
    <w:rsid w:val="000D5C7B"/>
    <w:rsid w:val="000D735A"/>
    <w:rsid w:val="000E0505"/>
    <w:rsid w:val="000E7B2B"/>
    <w:rsid w:val="000F12B9"/>
    <w:rsid w:val="00102EE6"/>
    <w:rsid w:val="00106264"/>
    <w:rsid w:val="001073F9"/>
    <w:rsid w:val="001203EF"/>
    <w:rsid w:val="00127EC2"/>
    <w:rsid w:val="001334DB"/>
    <w:rsid w:val="0013730D"/>
    <w:rsid w:val="001475F1"/>
    <w:rsid w:val="001510A2"/>
    <w:rsid w:val="00153D65"/>
    <w:rsid w:val="00155A48"/>
    <w:rsid w:val="00156636"/>
    <w:rsid w:val="00160DA8"/>
    <w:rsid w:val="00167C98"/>
    <w:rsid w:val="001745AB"/>
    <w:rsid w:val="0017501A"/>
    <w:rsid w:val="00186CF5"/>
    <w:rsid w:val="001931B6"/>
    <w:rsid w:val="001935A6"/>
    <w:rsid w:val="001960D8"/>
    <w:rsid w:val="001A551F"/>
    <w:rsid w:val="001A5702"/>
    <w:rsid w:val="001A7A1B"/>
    <w:rsid w:val="001B1075"/>
    <w:rsid w:val="001B2BC5"/>
    <w:rsid w:val="001B2F9C"/>
    <w:rsid w:val="001C4A20"/>
    <w:rsid w:val="001C599C"/>
    <w:rsid w:val="001C74A3"/>
    <w:rsid w:val="001D177B"/>
    <w:rsid w:val="001E071F"/>
    <w:rsid w:val="001E1900"/>
    <w:rsid w:val="001E1E13"/>
    <w:rsid w:val="001E5381"/>
    <w:rsid w:val="00206259"/>
    <w:rsid w:val="00210CD3"/>
    <w:rsid w:val="002164A9"/>
    <w:rsid w:val="00226194"/>
    <w:rsid w:val="002364DF"/>
    <w:rsid w:val="0024026B"/>
    <w:rsid w:val="002407E0"/>
    <w:rsid w:val="00241311"/>
    <w:rsid w:val="0024621A"/>
    <w:rsid w:val="00250721"/>
    <w:rsid w:val="00251B54"/>
    <w:rsid w:val="0026048B"/>
    <w:rsid w:val="002615A5"/>
    <w:rsid w:val="00263896"/>
    <w:rsid w:val="00264A85"/>
    <w:rsid w:val="00272A2F"/>
    <w:rsid w:val="0027474A"/>
    <w:rsid w:val="00282E10"/>
    <w:rsid w:val="0028525E"/>
    <w:rsid w:val="00287D40"/>
    <w:rsid w:val="00287F90"/>
    <w:rsid w:val="0029138A"/>
    <w:rsid w:val="002972A6"/>
    <w:rsid w:val="002A030C"/>
    <w:rsid w:val="002A13FD"/>
    <w:rsid w:val="002A14C0"/>
    <w:rsid w:val="002A209F"/>
    <w:rsid w:val="002A22A1"/>
    <w:rsid w:val="002A41AD"/>
    <w:rsid w:val="002A4C0B"/>
    <w:rsid w:val="002B258B"/>
    <w:rsid w:val="002C4503"/>
    <w:rsid w:val="002D0E31"/>
    <w:rsid w:val="002D3B64"/>
    <w:rsid w:val="002E4A1C"/>
    <w:rsid w:val="002F0FEB"/>
    <w:rsid w:val="002F20A9"/>
    <w:rsid w:val="002F28E1"/>
    <w:rsid w:val="002F3D9C"/>
    <w:rsid w:val="002F7DDD"/>
    <w:rsid w:val="002F7E51"/>
    <w:rsid w:val="00300751"/>
    <w:rsid w:val="00303957"/>
    <w:rsid w:val="00310658"/>
    <w:rsid w:val="00316E35"/>
    <w:rsid w:val="003208A2"/>
    <w:rsid w:val="003317CA"/>
    <w:rsid w:val="00333AD6"/>
    <w:rsid w:val="00337B04"/>
    <w:rsid w:val="0034721C"/>
    <w:rsid w:val="003502DF"/>
    <w:rsid w:val="00352D45"/>
    <w:rsid w:val="00353063"/>
    <w:rsid w:val="003553A1"/>
    <w:rsid w:val="00357225"/>
    <w:rsid w:val="00360807"/>
    <w:rsid w:val="00361F9F"/>
    <w:rsid w:val="00362325"/>
    <w:rsid w:val="00362921"/>
    <w:rsid w:val="003642F9"/>
    <w:rsid w:val="00367AC6"/>
    <w:rsid w:val="003713A5"/>
    <w:rsid w:val="00372507"/>
    <w:rsid w:val="00385F9E"/>
    <w:rsid w:val="0039158A"/>
    <w:rsid w:val="00393445"/>
    <w:rsid w:val="00394E6A"/>
    <w:rsid w:val="00394F12"/>
    <w:rsid w:val="0039546B"/>
    <w:rsid w:val="00395F53"/>
    <w:rsid w:val="0039791C"/>
    <w:rsid w:val="003A13E2"/>
    <w:rsid w:val="003A48C3"/>
    <w:rsid w:val="003B102D"/>
    <w:rsid w:val="003B165A"/>
    <w:rsid w:val="003C5FC1"/>
    <w:rsid w:val="003E7A57"/>
    <w:rsid w:val="003F0A7C"/>
    <w:rsid w:val="003F1C28"/>
    <w:rsid w:val="003F3620"/>
    <w:rsid w:val="00406B41"/>
    <w:rsid w:val="004259B6"/>
    <w:rsid w:val="00427D0A"/>
    <w:rsid w:val="00430818"/>
    <w:rsid w:val="00430EEE"/>
    <w:rsid w:val="0043234A"/>
    <w:rsid w:val="004323D4"/>
    <w:rsid w:val="00433564"/>
    <w:rsid w:val="00433FAA"/>
    <w:rsid w:val="004352ED"/>
    <w:rsid w:val="00437178"/>
    <w:rsid w:val="004408FB"/>
    <w:rsid w:val="004415B5"/>
    <w:rsid w:val="00447EAC"/>
    <w:rsid w:val="00455A05"/>
    <w:rsid w:val="00456B4C"/>
    <w:rsid w:val="0046313F"/>
    <w:rsid w:val="00463B15"/>
    <w:rsid w:val="00473DFF"/>
    <w:rsid w:val="00477CDA"/>
    <w:rsid w:val="00483F94"/>
    <w:rsid w:val="00486AAA"/>
    <w:rsid w:val="00487C39"/>
    <w:rsid w:val="00490667"/>
    <w:rsid w:val="00490AC9"/>
    <w:rsid w:val="00493EE8"/>
    <w:rsid w:val="00494315"/>
    <w:rsid w:val="004A04E8"/>
    <w:rsid w:val="004A630F"/>
    <w:rsid w:val="004B0B2C"/>
    <w:rsid w:val="004B7036"/>
    <w:rsid w:val="004C60D7"/>
    <w:rsid w:val="004D2099"/>
    <w:rsid w:val="004D4F82"/>
    <w:rsid w:val="004D6284"/>
    <w:rsid w:val="004D7976"/>
    <w:rsid w:val="004E6CC7"/>
    <w:rsid w:val="004F0FD2"/>
    <w:rsid w:val="00505683"/>
    <w:rsid w:val="0051133B"/>
    <w:rsid w:val="00514081"/>
    <w:rsid w:val="00515EFD"/>
    <w:rsid w:val="005178CE"/>
    <w:rsid w:val="00520505"/>
    <w:rsid w:val="00520F65"/>
    <w:rsid w:val="00522F88"/>
    <w:rsid w:val="00524015"/>
    <w:rsid w:val="0052538E"/>
    <w:rsid w:val="0052619B"/>
    <w:rsid w:val="005343E1"/>
    <w:rsid w:val="00534607"/>
    <w:rsid w:val="0054005F"/>
    <w:rsid w:val="00541420"/>
    <w:rsid w:val="00554937"/>
    <w:rsid w:val="005572A2"/>
    <w:rsid w:val="00561868"/>
    <w:rsid w:val="005641DA"/>
    <w:rsid w:val="00565983"/>
    <w:rsid w:val="00570E29"/>
    <w:rsid w:val="00572C3D"/>
    <w:rsid w:val="00580007"/>
    <w:rsid w:val="005837C7"/>
    <w:rsid w:val="00587085"/>
    <w:rsid w:val="00587ED1"/>
    <w:rsid w:val="005966D2"/>
    <w:rsid w:val="005B4456"/>
    <w:rsid w:val="005B562E"/>
    <w:rsid w:val="005C1852"/>
    <w:rsid w:val="005C6799"/>
    <w:rsid w:val="005C76E7"/>
    <w:rsid w:val="005E12B9"/>
    <w:rsid w:val="005F61B2"/>
    <w:rsid w:val="00601427"/>
    <w:rsid w:val="00601E49"/>
    <w:rsid w:val="006028A5"/>
    <w:rsid w:val="00603AD6"/>
    <w:rsid w:val="006128BE"/>
    <w:rsid w:val="00615B62"/>
    <w:rsid w:val="00620B43"/>
    <w:rsid w:val="0063064E"/>
    <w:rsid w:val="0063387C"/>
    <w:rsid w:val="00635DF0"/>
    <w:rsid w:val="0064037A"/>
    <w:rsid w:val="00641570"/>
    <w:rsid w:val="00641D1D"/>
    <w:rsid w:val="00643264"/>
    <w:rsid w:val="00643517"/>
    <w:rsid w:val="006444C4"/>
    <w:rsid w:val="00644949"/>
    <w:rsid w:val="00661699"/>
    <w:rsid w:val="0067136F"/>
    <w:rsid w:val="00671629"/>
    <w:rsid w:val="00672480"/>
    <w:rsid w:val="00674AE2"/>
    <w:rsid w:val="00680E72"/>
    <w:rsid w:val="00681DA1"/>
    <w:rsid w:val="00692FF0"/>
    <w:rsid w:val="00697470"/>
    <w:rsid w:val="006A64D4"/>
    <w:rsid w:val="006B14CF"/>
    <w:rsid w:val="006B1AD5"/>
    <w:rsid w:val="006B1F1A"/>
    <w:rsid w:val="006B3198"/>
    <w:rsid w:val="006B4C6B"/>
    <w:rsid w:val="006B4DDC"/>
    <w:rsid w:val="006B668A"/>
    <w:rsid w:val="006C128B"/>
    <w:rsid w:val="006C1A8D"/>
    <w:rsid w:val="006C29A6"/>
    <w:rsid w:val="006C42FD"/>
    <w:rsid w:val="006D318C"/>
    <w:rsid w:val="006D40C7"/>
    <w:rsid w:val="006D611C"/>
    <w:rsid w:val="006D6E92"/>
    <w:rsid w:val="006D6FC2"/>
    <w:rsid w:val="006E229B"/>
    <w:rsid w:val="006E3066"/>
    <w:rsid w:val="006E795F"/>
    <w:rsid w:val="006F3264"/>
    <w:rsid w:val="006F523D"/>
    <w:rsid w:val="006F54C4"/>
    <w:rsid w:val="006F59D5"/>
    <w:rsid w:val="00700FD0"/>
    <w:rsid w:val="0070549D"/>
    <w:rsid w:val="007120B9"/>
    <w:rsid w:val="00714DF8"/>
    <w:rsid w:val="00715650"/>
    <w:rsid w:val="007206BE"/>
    <w:rsid w:val="00727DDF"/>
    <w:rsid w:val="0073095B"/>
    <w:rsid w:val="00734C56"/>
    <w:rsid w:val="00736454"/>
    <w:rsid w:val="007426BD"/>
    <w:rsid w:val="00743BE8"/>
    <w:rsid w:val="00757787"/>
    <w:rsid w:val="0076046D"/>
    <w:rsid w:val="00760B32"/>
    <w:rsid w:val="0076121D"/>
    <w:rsid w:val="007627C7"/>
    <w:rsid w:val="00762F32"/>
    <w:rsid w:val="00766062"/>
    <w:rsid w:val="00766DD0"/>
    <w:rsid w:val="007774CE"/>
    <w:rsid w:val="0078022D"/>
    <w:rsid w:val="00784D3C"/>
    <w:rsid w:val="00786BD8"/>
    <w:rsid w:val="007A2AE4"/>
    <w:rsid w:val="007A3C55"/>
    <w:rsid w:val="007A4140"/>
    <w:rsid w:val="007A7021"/>
    <w:rsid w:val="007B2490"/>
    <w:rsid w:val="007B3339"/>
    <w:rsid w:val="007B7DD1"/>
    <w:rsid w:val="007C18AF"/>
    <w:rsid w:val="007C4317"/>
    <w:rsid w:val="007C5D7A"/>
    <w:rsid w:val="007D6661"/>
    <w:rsid w:val="007D6CF4"/>
    <w:rsid w:val="007D7456"/>
    <w:rsid w:val="007E33F2"/>
    <w:rsid w:val="007E3571"/>
    <w:rsid w:val="007E5B8F"/>
    <w:rsid w:val="007E6D4B"/>
    <w:rsid w:val="007E7309"/>
    <w:rsid w:val="008006F2"/>
    <w:rsid w:val="008013D7"/>
    <w:rsid w:val="008039F7"/>
    <w:rsid w:val="00810EB9"/>
    <w:rsid w:val="00815300"/>
    <w:rsid w:val="00817782"/>
    <w:rsid w:val="008220F7"/>
    <w:rsid w:val="0082385B"/>
    <w:rsid w:val="0082720B"/>
    <w:rsid w:val="00831843"/>
    <w:rsid w:val="00837694"/>
    <w:rsid w:val="00842472"/>
    <w:rsid w:val="00845D13"/>
    <w:rsid w:val="00851E4C"/>
    <w:rsid w:val="00855EAE"/>
    <w:rsid w:val="00856BDD"/>
    <w:rsid w:val="0086519E"/>
    <w:rsid w:val="00870901"/>
    <w:rsid w:val="00873F9E"/>
    <w:rsid w:val="00881988"/>
    <w:rsid w:val="00894621"/>
    <w:rsid w:val="008A1136"/>
    <w:rsid w:val="008A2385"/>
    <w:rsid w:val="008B2C55"/>
    <w:rsid w:val="008B2EB8"/>
    <w:rsid w:val="008B4732"/>
    <w:rsid w:val="008C04B1"/>
    <w:rsid w:val="008D2779"/>
    <w:rsid w:val="008D4FF5"/>
    <w:rsid w:val="008D7DA9"/>
    <w:rsid w:val="008E10B0"/>
    <w:rsid w:val="008E2A68"/>
    <w:rsid w:val="008F185D"/>
    <w:rsid w:val="008F1E5B"/>
    <w:rsid w:val="008F3393"/>
    <w:rsid w:val="008F7CBE"/>
    <w:rsid w:val="00904929"/>
    <w:rsid w:val="009069FC"/>
    <w:rsid w:val="009105DA"/>
    <w:rsid w:val="00911B98"/>
    <w:rsid w:val="009155CF"/>
    <w:rsid w:val="00922BEA"/>
    <w:rsid w:val="00930949"/>
    <w:rsid w:val="00934769"/>
    <w:rsid w:val="00943EF5"/>
    <w:rsid w:val="009446CE"/>
    <w:rsid w:val="00947DD2"/>
    <w:rsid w:val="00950E76"/>
    <w:rsid w:val="00955593"/>
    <w:rsid w:val="0095656E"/>
    <w:rsid w:val="0096239F"/>
    <w:rsid w:val="0096364A"/>
    <w:rsid w:val="00965518"/>
    <w:rsid w:val="00972322"/>
    <w:rsid w:val="00980962"/>
    <w:rsid w:val="00982BD4"/>
    <w:rsid w:val="0098546D"/>
    <w:rsid w:val="00987E66"/>
    <w:rsid w:val="009916E7"/>
    <w:rsid w:val="00996C79"/>
    <w:rsid w:val="00996DC9"/>
    <w:rsid w:val="009A6DA5"/>
    <w:rsid w:val="009B122D"/>
    <w:rsid w:val="009C0575"/>
    <w:rsid w:val="009C0CCA"/>
    <w:rsid w:val="009C1FCB"/>
    <w:rsid w:val="009C6211"/>
    <w:rsid w:val="009D3FCE"/>
    <w:rsid w:val="009E1107"/>
    <w:rsid w:val="009E3E86"/>
    <w:rsid w:val="009E4D2A"/>
    <w:rsid w:val="009F0C3F"/>
    <w:rsid w:val="009F6016"/>
    <w:rsid w:val="009F7940"/>
    <w:rsid w:val="00A077A5"/>
    <w:rsid w:val="00A153B4"/>
    <w:rsid w:val="00A15AFF"/>
    <w:rsid w:val="00A2610B"/>
    <w:rsid w:val="00A302BE"/>
    <w:rsid w:val="00A3048F"/>
    <w:rsid w:val="00A32CB2"/>
    <w:rsid w:val="00A33D0C"/>
    <w:rsid w:val="00A3473B"/>
    <w:rsid w:val="00A36662"/>
    <w:rsid w:val="00A3737D"/>
    <w:rsid w:val="00A40450"/>
    <w:rsid w:val="00A45BC7"/>
    <w:rsid w:val="00A46A48"/>
    <w:rsid w:val="00A51B6B"/>
    <w:rsid w:val="00A5437D"/>
    <w:rsid w:val="00A54894"/>
    <w:rsid w:val="00A57963"/>
    <w:rsid w:val="00A606A1"/>
    <w:rsid w:val="00A63E9C"/>
    <w:rsid w:val="00A669A9"/>
    <w:rsid w:val="00A7531A"/>
    <w:rsid w:val="00A76EE3"/>
    <w:rsid w:val="00A76F99"/>
    <w:rsid w:val="00A7784F"/>
    <w:rsid w:val="00A80AFD"/>
    <w:rsid w:val="00A81D60"/>
    <w:rsid w:val="00A83A8E"/>
    <w:rsid w:val="00A8479A"/>
    <w:rsid w:val="00A87646"/>
    <w:rsid w:val="00A90ED8"/>
    <w:rsid w:val="00AA7D9B"/>
    <w:rsid w:val="00AB65E0"/>
    <w:rsid w:val="00AB78FA"/>
    <w:rsid w:val="00AC176E"/>
    <w:rsid w:val="00AC17FE"/>
    <w:rsid w:val="00AD2ED3"/>
    <w:rsid w:val="00AD5B96"/>
    <w:rsid w:val="00AD6D8F"/>
    <w:rsid w:val="00AF08BD"/>
    <w:rsid w:val="00AF1C71"/>
    <w:rsid w:val="00B03C98"/>
    <w:rsid w:val="00B047F5"/>
    <w:rsid w:val="00B113BA"/>
    <w:rsid w:val="00B20F60"/>
    <w:rsid w:val="00B2255C"/>
    <w:rsid w:val="00B24F03"/>
    <w:rsid w:val="00B26A12"/>
    <w:rsid w:val="00B26B3F"/>
    <w:rsid w:val="00B3041A"/>
    <w:rsid w:val="00B40742"/>
    <w:rsid w:val="00B42F71"/>
    <w:rsid w:val="00B43C69"/>
    <w:rsid w:val="00B43C89"/>
    <w:rsid w:val="00B51BD2"/>
    <w:rsid w:val="00B53CE7"/>
    <w:rsid w:val="00B57AFC"/>
    <w:rsid w:val="00B57CCA"/>
    <w:rsid w:val="00B608AC"/>
    <w:rsid w:val="00B609DB"/>
    <w:rsid w:val="00B65D41"/>
    <w:rsid w:val="00B774E6"/>
    <w:rsid w:val="00B77B78"/>
    <w:rsid w:val="00B82AC1"/>
    <w:rsid w:val="00B84BE1"/>
    <w:rsid w:val="00B85897"/>
    <w:rsid w:val="00B86F32"/>
    <w:rsid w:val="00B87A22"/>
    <w:rsid w:val="00B90760"/>
    <w:rsid w:val="00BA220D"/>
    <w:rsid w:val="00BA69C8"/>
    <w:rsid w:val="00BB4BC3"/>
    <w:rsid w:val="00BB760D"/>
    <w:rsid w:val="00BC0E45"/>
    <w:rsid w:val="00BC1D85"/>
    <w:rsid w:val="00BC27B0"/>
    <w:rsid w:val="00BD6112"/>
    <w:rsid w:val="00BD6FC7"/>
    <w:rsid w:val="00BE2517"/>
    <w:rsid w:val="00BE2A13"/>
    <w:rsid w:val="00BE4FF0"/>
    <w:rsid w:val="00BF33AA"/>
    <w:rsid w:val="00C045C4"/>
    <w:rsid w:val="00C0630C"/>
    <w:rsid w:val="00C13D45"/>
    <w:rsid w:val="00C13FBD"/>
    <w:rsid w:val="00C24F05"/>
    <w:rsid w:val="00C26A16"/>
    <w:rsid w:val="00C31B08"/>
    <w:rsid w:val="00C326CE"/>
    <w:rsid w:val="00C356FC"/>
    <w:rsid w:val="00C50370"/>
    <w:rsid w:val="00C52936"/>
    <w:rsid w:val="00C54354"/>
    <w:rsid w:val="00C603CF"/>
    <w:rsid w:val="00C61C3E"/>
    <w:rsid w:val="00C6491A"/>
    <w:rsid w:val="00C740F3"/>
    <w:rsid w:val="00C75896"/>
    <w:rsid w:val="00C84285"/>
    <w:rsid w:val="00C93A53"/>
    <w:rsid w:val="00C94411"/>
    <w:rsid w:val="00C9598C"/>
    <w:rsid w:val="00CA2FF2"/>
    <w:rsid w:val="00CA7113"/>
    <w:rsid w:val="00CB4DEE"/>
    <w:rsid w:val="00CD1DD1"/>
    <w:rsid w:val="00CD7245"/>
    <w:rsid w:val="00CE3A31"/>
    <w:rsid w:val="00CE4602"/>
    <w:rsid w:val="00CF212B"/>
    <w:rsid w:val="00D04ACC"/>
    <w:rsid w:val="00D12DA9"/>
    <w:rsid w:val="00D16651"/>
    <w:rsid w:val="00D178DA"/>
    <w:rsid w:val="00D22DEA"/>
    <w:rsid w:val="00D22E55"/>
    <w:rsid w:val="00D23242"/>
    <w:rsid w:val="00D24252"/>
    <w:rsid w:val="00D33F78"/>
    <w:rsid w:val="00D346C9"/>
    <w:rsid w:val="00D35870"/>
    <w:rsid w:val="00D35FF8"/>
    <w:rsid w:val="00D41138"/>
    <w:rsid w:val="00D4183C"/>
    <w:rsid w:val="00D43C42"/>
    <w:rsid w:val="00D44EF5"/>
    <w:rsid w:val="00D502D0"/>
    <w:rsid w:val="00D526D2"/>
    <w:rsid w:val="00D53F0F"/>
    <w:rsid w:val="00D578F3"/>
    <w:rsid w:val="00D61CDD"/>
    <w:rsid w:val="00D6291A"/>
    <w:rsid w:val="00D64970"/>
    <w:rsid w:val="00D71E85"/>
    <w:rsid w:val="00D7288E"/>
    <w:rsid w:val="00D734B1"/>
    <w:rsid w:val="00D746EA"/>
    <w:rsid w:val="00D81237"/>
    <w:rsid w:val="00D83F98"/>
    <w:rsid w:val="00D84D40"/>
    <w:rsid w:val="00D87C3F"/>
    <w:rsid w:val="00D87DAA"/>
    <w:rsid w:val="00D911DA"/>
    <w:rsid w:val="00DA59B8"/>
    <w:rsid w:val="00DA7571"/>
    <w:rsid w:val="00DB4A31"/>
    <w:rsid w:val="00DC74FC"/>
    <w:rsid w:val="00DD1710"/>
    <w:rsid w:val="00DD3A8E"/>
    <w:rsid w:val="00DD4E87"/>
    <w:rsid w:val="00DE27D3"/>
    <w:rsid w:val="00DE3A8E"/>
    <w:rsid w:val="00DE4324"/>
    <w:rsid w:val="00DE4C26"/>
    <w:rsid w:val="00E00D61"/>
    <w:rsid w:val="00E02716"/>
    <w:rsid w:val="00E03B3F"/>
    <w:rsid w:val="00E056FD"/>
    <w:rsid w:val="00E0671F"/>
    <w:rsid w:val="00E06EE2"/>
    <w:rsid w:val="00E072DF"/>
    <w:rsid w:val="00E10785"/>
    <w:rsid w:val="00E15400"/>
    <w:rsid w:val="00E172F5"/>
    <w:rsid w:val="00E23F35"/>
    <w:rsid w:val="00E30D8A"/>
    <w:rsid w:val="00E32ECB"/>
    <w:rsid w:val="00E356C5"/>
    <w:rsid w:val="00E40932"/>
    <w:rsid w:val="00E43185"/>
    <w:rsid w:val="00E50F4E"/>
    <w:rsid w:val="00E522CE"/>
    <w:rsid w:val="00E536F8"/>
    <w:rsid w:val="00E56925"/>
    <w:rsid w:val="00E60642"/>
    <w:rsid w:val="00E6751C"/>
    <w:rsid w:val="00E8666D"/>
    <w:rsid w:val="00E86A1A"/>
    <w:rsid w:val="00E8748E"/>
    <w:rsid w:val="00E91ABB"/>
    <w:rsid w:val="00E922BF"/>
    <w:rsid w:val="00EA1216"/>
    <w:rsid w:val="00EA1A60"/>
    <w:rsid w:val="00EA2F90"/>
    <w:rsid w:val="00EA5592"/>
    <w:rsid w:val="00EA5EC9"/>
    <w:rsid w:val="00EB1C15"/>
    <w:rsid w:val="00EB1E36"/>
    <w:rsid w:val="00EB39C4"/>
    <w:rsid w:val="00EB48BB"/>
    <w:rsid w:val="00EB6102"/>
    <w:rsid w:val="00EB6D30"/>
    <w:rsid w:val="00EB7400"/>
    <w:rsid w:val="00EC1607"/>
    <w:rsid w:val="00EC28BF"/>
    <w:rsid w:val="00EC3AEB"/>
    <w:rsid w:val="00EC4E21"/>
    <w:rsid w:val="00ED2507"/>
    <w:rsid w:val="00ED28D2"/>
    <w:rsid w:val="00ED3BEC"/>
    <w:rsid w:val="00EE0917"/>
    <w:rsid w:val="00EF5831"/>
    <w:rsid w:val="00F03860"/>
    <w:rsid w:val="00F045BA"/>
    <w:rsid w:val="00F12283"/>
    <w:rsid w:val="00F12C7E"/>
    <w:rsid w:val="00F12D08"/>
    <w:rsid w:val="00F142D8"/>
    <w:rsid w:val="00F17CE5"/>
    <w:rsid w:val="00F22BE6"/>
    <w:rsid w:val="00F23270"/>
    <w:rsid w:val="00F235D3"/>
    <w:rsid w:val="00F2384E"/>
    <w:rsid w:val="00F2448F"/>
    <w:rsid w:val="00F25689"/>
    <w:rsid w:val="00F26144"/>
    <w:rsid w:val="00F27141"/>
    <w:rsid w:val="00F41123"/>
    <w:rsid w:val="00F43D7C"/>
    <w:rsid w:val="00F55F48"/>
    <w:rsid w:val="00F5681A"/>
    <w:rsid w:val="00F601A7"/>
    <w:rsid w:val="00F61CE7"/>
    <w:rsid w:val="00F65925"/>
    <w:rsid w:val="00F66641"/>
    <w:rsid w:val="00F66A73"/>
    <w:rsid w:val="00F66AEF"/>
    <w:rsid w:val="00F71F9A"/>
    <w:rsid w:val="00F738A6"/>
    <w:rsid w:val="00F85F23"/>
    <w:rsid w:val="00F87E50"/>
    <w:rsid w:val="00F94852"/>
    <w:rsid w:val="00FB2158"/>
    <w:rsid w:val="00FC5A0F"/>
    <w:rsid w:val="00FD2940"/>
    <w:rsid w:val="00FE35C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BE"/>
    <w:pPr>
      <w:spacing w:before="60" w:after="60" w:line="280" w:lineRule="atLeast"/>
    </w:pPr>
    <w:rPr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F7940"/>
    <w:pPr>
      <w:keepNext/>
      <w:spacing w:before="360" w:after="120" w:line="360" w:lineRule="atLeast"/>
      <w:outlineLvl w:val="0"/>
    </w:pPr>
    <w:rPr>
      <w:rFonts w:eastAsia="Times New Roman"/>
      <w:bCs/>
      <w:color w:val="B01717"/>
      <w:kern w:val="32"/>
      <w:sz w:val="36"/>
      <w:szCs w:val="36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F7940"/>
    <w:pPr>
      <w:keepNext/>
      <w:spacing w:before="360" w:after="120" w:line="360" w:lineRule="atLeast"/>
      <w:outlineLvl w:val="1"/>
    </w:pPr>
    <w:rPr>
      <w:rFonts w:eastAsia="Times New Roman"/>
      <w:bCs/>
      <w:iCs/>
      <w:color w:val="B01717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F7940"/>
    <w:pPr>
      <w:keepNext/>
      <w:spacing w:before="360" w:after="120" w:line="300" w:lineRule="atLeast"/>
      <w:outlineLvl w:val="2"/>
    </w:pPr>
    <w:rPr>
      <w:rFonts w:eastAsia="Times New Roman"/>
      <w:bCs/>
      <w:color w:val="B01717"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F7940"/>
    <w:pPr>
      <w:outlineLvl w:val="3"/>
    </w:pPr>
    <w:rPr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40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HeaderChar">
    <w:name w:val="Header Char"/>
    <w:link w:val="Header"/>
    <w:uiPriority w:val="99"/>
    <w:rsid w:val="009F794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7940"/>
  </w:style>
  <w:style w:type="character" w:customStyle="1" w:styleId="FooterChar">
    <w:name w:val="Footer Char"/>
    <w:link w:val="Footer"/>
    <w:uiPriority w:val="99"/>
    <w:rsid w:val="009F7940"/>
    <w:rPr>
      <w:rFonts w:eastAsia="Calibri"/>
      <w:sz w:val="20"/>
    </w:rPr>
  </w:style>
  <w:style w:type="paragraph" w:customStyle="1" w:styleId="Bannerheadingfirstpage">
    <w:name w:val="Banner heading (first page)"/>
    <w:basedOn w:val="Header"/>
    <w:link w:val="BannerheadingfirstpageChar"/>
    <w:rsid w:val="00FB2158"/>
    <w:pPr>
      <w:pBdr>
        <w:bottom w:val="single" w:sz="8" w:space="1" w:color="A6A6A6"/>
      </w:pBdr>
      <w:tabs>
        <w:tab w:val="clear" w:pos="4513"/>
        <w:tab w:val="clear" w:pos="9026"/>
        <w:tab w:val="left" w:pos="2835"/>
      </w:tabs>
      <w:spacing w:before="720" w:after="240"/>
      <w:ind w:left="2835" w:hanging="2835"/>
      <w:jc w:val="center"/>
    </w:pPr>
    <w:rPr>
      <w:color w:val="B01717"/>
      <w:sz w:val="32"/>
    </w:rPr>
  </w:style>
  <w:style w:type="character" w:customStyle="1" w:styleId="BannerheadingfirstpageChar">
    <w:name w:val="Banner heading (first page) Char"/>
    <w:link w:val="Bannerheadingfirstpage"/>
    <w:rsid w:val="00FB2158"/>
    <w:rPr>
      <w:rFonts w:eastAsia="Calibri" w:cs="Times New Roman"/>
      <w:color w:val="B01717"/>
      <w:sz w:val="32"/>
    </w:rPr>
  </w:style>
  <w:style w:type="paragraph" w:customStyle="1" w:styleId="Bannerheadingcontinuationpages">
    <w:name w:val="Banner heading (continuation pages)"/>
    <w:basedOn w:val="Bannerheadingfirstpage"/>
    <w:link w:val="BannerheadingcontinuationpagesChar"/>
    <w:qFormat/>
    <w:rsid w:val="00D44EF5"/>
    <w:pPr>
      <w:spacing w:before="60" w:after="60" w:line="280" w:lineRule="atLeast"/>
      <w:jc w:val="right"/>
    </w:pPr>
  </w:style>
  <w:style w:type="character" w:customStyle="1" w:styleId="BannerheadingcontinuationpagesChar">
    <w:name w:val="Banner heading (continuation pages) Char"/>
    <w:link w:val="Bannerheadingcontinuationpages"/>
    <w:rsid w:val="00D44EF5"/>
    <w:rPr>
      <w:rFonts w:eastAsia="Calibri" w:cs="Times New Roman"/>
      <w:color w:val="B01717"/>
      <w:sz w:val="32"/>
    </w:rPr>
  </w:style>
  <w:style w:type="paragraph" w:customStyle="1" w:styleId="Tablebullets">
    <w:name w:val="Table bullets"/>
    <w:basedOn w:val="Normal"/>
    <w:link w:val="TablebulletsChar"/>
    <w:qFormat/>
    <w:rsid w:val="009F7940"/>
    <w:pPr>
      <w:numPr>
        <w:numId w:val="24"/>
      </w:numPr>
      <w:tabs>
        <w:tab w:val="left" w:pos="284"/>
      </w:tabs>
      <w:spacing w:before="40" w:after="40" w:line="240" w:lineRule="atLeast"/>
    </w:pPr>
  </w:style>
  <w:style w:type="paragraph" w:customStyle="1" w:styleId="Tablesub-bullets">
    <w:name w:val="Table sub-bullets"/>
    <w:basedOn w:val="Normal"/>
    <w:link w:val="Tablesub-bulletsChar"/>
    <w:qFormat/>
    <w:rsid w:val="009F7940"/>
    <w:pPr>
      <w:numPr>
        <w:numId w:val="28"/>
      </w:numPr>
      <w:tabs>
        <w:tab w:val="left" w:pos="567"/>
      </w:tabs>
      <w:spacing w:before="40" w:after="40" w:line="240" w:lineRule="atLeast"/>
    </w:pPr>
    <w:rPr>
      <w:szCs w:val="20"/>
    </w:rPr>
  </w:style>
  <w:style w:type="paragraph" w:customStyle="1" w:styleId="Tabletext">
    <w:name w:val="Table text"/>
    <w:basedOn w:val="Normal"/>
    <w:link w:val="TabletextChar"/>
    <w:qFormat/>
    <w:rsid w:val="009F7940"/>
    <w:pPr>
      <w:spacing w:before="40" w:after="40" w:line="240" w:lineRule="atLeast"/>
    </w:pPr>
  </w:style>
  <w:style w:type="paragraph" w:customStyle="1" w:styleId="Tabletextbold">
    <w:name w:val="Table text bold"/>
    <w:basedOn w:val="Tabletext"/>
    <w:qFormat/>
    <w:rsid w:val="009F7940"/>
    <w:rPr>
      <w:b/>
    </w:rPr>
  </w:style>
  <w:style w:type="character" w:customStyle="1" w:styleId="TabletextChar">
    <w:name w:val="Table text Char"/>
    <w:link w:val="Tabletext"/>
    <w:rsid w:val="009F7940"/>
    <w:rPr>
      <w:rFonts w:eastAsia="Calibri"/>
      <w:sz w:val="20"/>
    </w:rPr>
  </w:style>
  <w:style w:type="character" w:customStyle="1" w:styleId="Tablesub-bulletsChar">
    <w:name w:val="Table sub-bullets Char"/>
    <w:link w:val="Tablesub-bullets"/>
    <w:rsid w:val="009F7940"/>
    <w:rPr>
      <w:rFonts w:eastAsia="Calibri"/>
      <w:sz w:val="20"/>
      <w:szCs w:val="20"/>
    </w:rPr>
  </w:style>
  <w:style w:type="character" w:customStyle="1" w:styleId="TablebulletsChar">
    <w:name w:val="Table bullets Char"/>
    <w:link w:val="Tablebullets"/>
    <w:rsid w:val="009F7940"/>
    <w:rPr>
      <w:rFonts w:eastAsia="Calibri"/>
      <w:sz w:val="20"/>
    </w:rPr>
  </w:style>
  <w:style w:type="table" w:customStyle="1" w:styleId="Adhoctable1">
    <w:name w:val="Ad hoc table 1"/>
    <w:basedOn w:val="TableNormal"/>
    <w:uiPriority w:val="99"/>
    <w:qFormat/>
    <w:rsid w:val="00361F9F"/>
    <w:tblPr>
      <w:tblBorders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  <w:insideH w:val="single" w:sz="36" w:space="0" w:color="FFFFFF"/>
        <w:insideV w:val="single" w:sz="36" w:space="0" w:color="FFFFFF"/>
      </w:tblBorders>
    </w:tblPr>
    <w:tcPr>
      <w:shd w:val="pct10" w:color="auto" w:fill="auto"/>
    </w:tcPr>
    <w:tblStylePr w:type="firstRow">
      <w:rPr>
        <w:rFonts w:ascii="Arial" w:hAnsi="Arial"/>
        <w:b w:val="0"/>
        <w:color w:val="auto"/>
        <w:sz w:val="20"/>
      </w:rPr>
      <w:tblPr/>
      <w:tcPr>
        <w:shd w:val="clear" w:color="auto" w:fill="B01717"/>
      </w:tcPr>
    </w:tblStylePr>
  </w:style>
  <w:style w:type="table" w:customStyle="1" w:styleId="Adhoctable2">
    <w:name w:val="Ad hoc table 2"/>
    <w:basedOn w:val="TableNormal"/>
    <w:uiPriority w:val="99"/>
    <w:qFormat/>
    <w:rsid w:val="009F7940"/>
    <w:tblPr>
      <w:tblBorders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  <w:insideH w:val="single" w:sz="36" w:space="0" w:color="FFFFFF"/>
        <w:insideV w:val="single" w:sz="36" w:space="0" w:color="FFFFFF"/>
      </w:tblBorders>
    </w:tblPr>
    <w:tcPr>
      <w:shd w:val="pct10" w:color="auto" w:fill="auto"/>
    </w:tcPr>
    <w:tblStylePr w:type="firstRow">
      <w:rPr>
        <w:rFonts w:ascii="Arial" w:hAnsi="Arial"/>
        <w:b w:val="0"/>
        <w:color w:val="auto"/>
        <w:sz w:val="20"/>
      </w:rPr>
      <w:tblPr/>
      <w:tcPr>
        <w:shd w:val="clear" w:color="auto" w:fill="B01717"/>
      </w:tcPr>
    </w:tblStylePr>
    <w:tblStylePr w:type="firstCol">
      <w:rPr>
        <w:rFonts w:ascii="Arial" w:hAnsi="Arial"/>
        <w:b w:val="0"/>
        <w:color w:val="000000"/>
        <w:sz w:val="20"/>
      </w:rPr>
      <w:tblPr/>
      <w:tcPr>
        <w:tc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nil"/>
          <w:insideV w:val="nil"/>
          <w:tl2br w:val="nil"/>
          <w:tr2bl w:val="nil"/>
        </w:tcBorders>
        <w:shd w:val="pct20" w:color="auto" w:fill="auto"/>
      </w:tcPr>
    </w:tblStylePr>
  </w:style>
  <w:style w:type="paragraph" w:customStyle="1" w:styleId="APrecommendationbullets">
    <w:name w:val="AP recommendation bullets"/>
    <w:basedOn w:val="Normal"/>
    <w:qFormat/>
    <w:rsid w:val="009F7940"/>
    <w:pPr>
      <w:numPr>
        <w:numId w:val="18"/>
      </w:numPr>
      <w:tabs>
        <w:tab w:val="left" w:pos="737"/>
      </w:tabs>
      <w:spacing w:before="40" w:after="40" w:line="240" w:lineRule="atLeast"/>
    </w:pPr>
    <w:rPr>
      <w:rFonts w:cs="Arial"/>
    </w:rPr>
  </w:style>
  <w:style w:type="paragraph" w:customStyle="1" w:styleId="APrecommendationsub-bullets">
    <w:name w:val="AP recommendation sub-bullets"/>
    <w:basedOn w:val="Normal"/>
    <w:qFormat/>
    <w:rsid w:val="009F7940"/>
    <w:pPr>
      <w:numPr>
        <w:numId w:val="19"/>
      </w:numPr>
      <w:tabs>
        <w:tab w:val="left" w:pos="1021"/>
      </w:tabs>
      <w:spacing w:before="40" w:after="40" w:line="240" w:lineRule="atLeast"/>
    </w:pPr>
  </w:style>
  <w:style w:type="paragraph" w:customStyle="1" w:styleId="APrecommendationtext">
    <w:name w:val="AP recommendation text"/>
    <w:basedOn w:val="Tabletext"/>
    <w:qFormat/>
    <w:rsid w:val="009F7940"/>
    <w:pPr>
      <w:tabs>
        <w:tab w:val="left" w:pos="454"/>
      </w:tabs>
      <w:ind w:left="454" w:hanging="454"/>
    </w:pPr>
  </w:style>
  <w:style w:type="paragraph" w:customStyle="1" w:styleId="Appendixbullets">
    <w:name w:val="Appendix bullets"/>
    <w:basedOn w:val="Normal"/>
    <w:qFormat/>
    <w:rsid w:val="009F7940"/>
    <w:pPr>
      <w:numPr>
        <w:numId w:val="20"/>
      </w:numPr>
      <w:tabs>
        <w:tab w:val="left" w:pos="567"/>
      </w:tabs>
    </w:pPr>
    <w:rPr>
      <w:sz w:val="22"/>
    </w:rPr>
  </w:style>
  <w:style w:type="paragraph" w:customStyle="1" w:styleId="Appendixsub-bullets">
    <w:name w:val="Appendix sub-bullets"/>
    <w:basedOn w:val="Normal"/>
    <w:qFormat/>
    <w:rsid w:val="009F7940"/>
    <w:pPr>
      <w:numPr>
        <w:numId w:val="21"/>
      </w:numPr>
      <w:tabs>
        <w:tab w:val="left" w:pos="1134"/>
      </w:tabs>
    </w:pPr>
    <w:rPr>
      <w:sz w:val="22"/>
    </w:rPr>
  </w:style>
  <w:style w:type="paragraph" w:customStyle="1" w:styleId="Auditteamtext">
    <w:name w:val="Audit team text"/>
    <w:basedOn w:val="Normal"/>
    <w:qFormat/>
    <w:rsid w:val="009F7940"/>
    <w:pPr>
      <w:spacing w:before="1080"/>
      <w:jc w:val="center"/>
    </w:pPr>
    <w:rPr>
      <w:rFonts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940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link w:val="BulletsChar"/>
    <w:qFormat/>
    <w:rsid w:val="009F7940"/>
    <w:pPr>
      <w:numPr>
        <w:numId w:val="22"/>
      </w:numPr>
      <w:tabs>
        <w:tab w:val="left" w:pos="1134"/>
      </w:tabs>
    </w:pPr>
    <w:rPr>
      <w:sz w:val="22"/>
    </w:rPr>
  </w:style>
  <w:style w:type="character" w:customStyle="1" w:styleId="BulletsChar">
    <w:name w:val="Bullets Char"/>
    <w:link w:val="Bullets"/>
    <w:rsid w:val="009F7940"/>
    <w:rPr>
      <w:rFonts w:eastAsia="Calibri"/>
    </w:rPr>
  </w:style>
  <w:style w:type="paragraph" w:customStyle="1" w:styleId="Contentsheading">
    <w:name w:val="Contents heading"/>
    <w:basedOn w:val="Normal"/>
    <w:link w:val="ContentsheadingChar"/>
    <w:qFormat/>
    <w:rsid w:val="009F7940"/>
    <w:pPr>
      <w:spacing w:before="120" w:after="120"/>
    </w:pPr>
    <w:rPr>
      <w:b/>
      <w:color w:val="B02020"/>
      <w:sz w:val="22"/>
    </w:rPr>
  </w:style>
  <w:style w:type="character" w:customStyle="1" w:styleId="ContentsheadingChar">
    <w:name w:val="Contents heading Char"/>
    <w:link w:val="Contentsheading"/>
    <w:rsid w:val="009F7940"/>
    <w:rPr>
      <w:rFonts w:eastAsia="Calibri"/>
      <w:b/>
      <w:color w:val="B02020"/>
    </w:rPr>
  </w:style>
  <w:style w:type="paragraph" w:customStyle="1" w:styleId="Contentsheading1">
    <w:name w:val="Contents heading 1"/>
    <w:basedOn w:val="Normal"/>
    <w:link w:val="Contentsheading1Char"/>
    <w:qFormat/>
    <w:rsid w:val="009F7940"/>
    <w:pPr>
      <w:spacing w:before="120" w:after="120"/>
    </w:pPr>
    <w:rPr>
      <w:sz w:val="22"/>
    </w:rPr>
  </w:style>
  <w:style w:type="character" w:customStyle="1" w:styleId="Contentsheading1Char">
    <w:name w:val="Contents heading 1 Char"/>
    <w:link w:val="Contentsheading1"/>
    <w:rsid w:val="009F7940"/>
    <w:rPr>
      <w:rFonts w:eastAsia="Calibri"/>
    </w:rPr>
  </w:style>
  <w:style w:type="paragraph" w:customStyle="1" w:styleId="Contentsheading2">
    <w:name w:val="Contents heading 2"/>
    <w:basedOn w:val="Normal"/>
    <w:qFormat/>
    <w:rsid w:val="009F7940"/>
    <w:pPr>
      <w:spacing w:before="120" w:after="120"/>
      <w:ind w:left="567"/>
    </w:pPr>
    <w:rPr>
      <w:sz w:val="22"/>
    </w:rPr>
  </w:style>
  <w:style w:type="paragraph" w:customStyle="1" w:styleId="Contentssectionheading">
    <w:name w:val="Contents section heading"/>
    <w:basedOn w:val="Normal"/>
    <w:link w:val="ContentssectionheadingChar"/>
    <w:qFormat/>
    <w:rsid w:val="009F7940"/>
    <w:pPr>
      <w:spacing w:before="120" w:after="120"/>
    </w:pPr>
    <w:rPr>
      <w:color w:val="B01717"/>
      <w:sz w:val="22"/>
    </w:rPr>
  </w:style>
  <w:style w:type="character" w:customStyle="1" w:styleId="ContentssectionheadingChar">
    <w:name w:val="Contents section heading Char"/>
    <w:link w:val="Contentssectionheading"/>
    <w:rsid w:val="009F7940"/>
    <w:rPr>
      <w:rFonts w:eastAsia="Calibri"/>
      <w:color w:val="B01717"/>
    </w:rPr>
  </w:style>
  <w:style w:type="paragraph" w:customStyle="1" w:styleId="Exhibitheading">
    <w:name w:val="Exhibit heading"/>
    <w:basedOn w:val="Normal"/>
    <w:next w:val="Normal"/>
    <w:link w:val="ExhibitheadingChar"/>
    <w:qFormat/>
    <w:rsid w:val="009F7940"/>
    <w:pPr>
      <w:spacing w:before="360" w:after="120" w:line="300" w:lineRule="atLeast"/>
      <w:ind w:left="567"/>
    </w:pPr>
    <w:rPr>
      <w:color w:val="B01717"/>
      <w:sz w:val="22"/>
    </w:rPr>
  </w:style>
  <w:style w:type="character" w:customStyle="1" w:styleId="ExhibitheadingChar">
    <w:name w:val="Exhibit heading Char"/>
    <w:link w:val="Exhibitheading"/>
    <w:rsid w:val="009F7940"/>
    <w:rPr>
      <w:rFonts w:eastAsia="Calibri"/>
      <w:color w:val="B01717"/>
    </w:rPr>
  </w:style>
  <w:style w:type="paragraph" w:customStyle="1" w:styleId="Exhibitsource">
    <w:name w:val="Exhibit source"/>
    <w:basedOn w:val="Normal"/>
    <w:link w:val="ExhibitsourceChar"/>
    <w:qFormat/>
    <w:rsid w:val="009F7940"/>
    <w:pPr>
      <w:spacing w:before="120" w:after="120"/>
      <w:ind w:left="567"/>
    </w:pPr>
    <w:rPr>
      <w:i/>
      <w:sz w:val="22"/>
    </w:rPr>
  </w:style>
  <w:style w:type="character" w:customStyle="1" w:styleId="ExhibitsourceChar">
    <w:name w:val="Exhibit source Char"/>
    <w:link w:val="Exhibitsource"/>
    <w:rsid w:val="009F7940"/>
    <w:rPr>
      <w:rFonts w:eastAsia="Calibri"/>
      <w:i/>
    </w:rPr>
  </w:style>
  <w:style w:type="paragraph" w:customStyle="1" w:styleId="Exhibittext">
    <w:name w:val="Exhibit text"/>
    <w:basedOn w:val="Normal"/>
    <w:qFormat/>
    <w:rsid w:val="009F7940"/>
    <w:pPr>
      <w:spacing w:after="120"/>
      <w:ind w:left="567"/>
    </w:pPr>
    <w:rPr>
      <w:sz w:val="22"/>
    </w:rPr>
  </w:style>
  <w:style w:type="character" w:customStyle="1" w:styleId="Heading1Char">
    <w:name w:val="Heading 1 Char"/>
    <w:link w:val="Heading1"/>
    <w:uiPriority w:val="9"/>
    <w:rsid w:val="009F7940"/>
    <w:rPr>
      <w:rFonts w:eastAsia="Times New Roman"/>
      <w:bCs/>
      <w:color w:val="B01717"/>
      <w:kern w:val="32"/>
      <w:sz w:val="36"/>
      <w:szCs w:val="36"/>
    </w:rPr>
  </w:style>
  <w:style w:type="character" w:customStyle="1" w:styleId="Heading2Char">
    <w:name w:val="Heading 2 Char"/>
    <w:link w:val="Heading2"/>
    <w:uiPriority w:val="9"/>
    <w:rsid w:val="009F7940"/>
    <w:rPr>
      <w:rFonts w:eastAsia="Times New Roman"/>
      <w:bCs/>
      <w:iCs/>
      <w:color w:val="B01717"/>
      <w:sz w:val="28"/>
      <w:szCs w:val="28"/>
    </w:rPr>
  </w:style>
  <w:style w:type="character" w:customStyle="1" w:styleId="Heading3Char">
    <w:name w:val="Heading 3 Char"/>
    <w:link w:val="Heading3"/>
    <w:uiPriority w:val="9"/>
    <w:rsid w:val="009F7940"/>
    <w:rPr>
      <w:rFonts w:eastAsia="Times New Roman"/>
      <w:bCs/>
      <w:color w:val="B01717"/>
    </w:rPr>
  </w:style>
  <w:style w:type="character" w:customStyle="1" w:styleId="Heading4Char">
    <w:name w:val="Heading 4 Char"/>
    <w:link w:val="Heading4"/>
    <w:uiPriority w:val="9"/>
    <w:rsid w:val="009F7940"/>
    <w:rPr>
      <w:rFonts w:eastAsia="Times New Roman"/>
      <w:b/>
      <w:bCs/>
    </w:rPr>
  </w:style>
  <w:style w:type="table" w:customStyle="1" w:styleId="Localreporttable1">
    <w:name w:val="Local report table 1"/>
    <w:basedOn w:val="TableNormal"/>
    <w:uiPriority w:val="99"/>
    <w:qFormat/>
    <w:rsid w:val="009F7940"/>
    <w:tblPr>
      <w:tblBorders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  <w:insideH w:val="single" w:sz="36" w:space="0" w:color="FFFFFF"/>
        <w:insideV w:val="single" w:sz="36" w:space="0" w:color="FFFFFF"/>
      </w:tblBorders>
    </w:tblPr>
    <w:tcPr>
      <w:shd w:val="pct10" w:color="auto" w:fill="auto"/>
    </w:tcPr>
    <w:tblStylePr w:type="firstRow">
      <w:rPr>
        <w:rFonts w:ascii="Arial" w:hAnsi="Arial"/>
        <w:b w:val="0"/>
        <w:color w:val="auto"/>
        <w:sz w:val="20"/>
      </w:rPr>
      <w:tblPr/>
      <w:tcPr>
        <w:shd w:val="clear" w:color="auto" w:fill="B01717"/>
      </w:tcPr>
    </w:tblStylePr>
  </w:style>
  <w:style w:type="paragraph" w:customStyle="1" w:styleId="Numberedtext">
    <w:name w:val="Numbered text"/>
    <w:basedOn w:val="Normal"/>
    <w:link w:val="NumberedtextChar"/>
    <w:qFormat/>
    <w:rsid w:val="009F7940"/>
    <w:pPr>
      <w:numPr>
        <w:numId w:val="23"/>
      </w:numPr>
    </w:pPr>
    <w:rPr>
      <w:rFonts w:cs="Arial"/>
      <w:sz w:val="22"/>
    </w:rPr>
  </w:style>
  <w:style w:type="character" w:customStyle="1" w:styleId="NumberedtextChar">
    <w:name w:val="Numbered text Char"/>
    <w:link w:val="Numberedtext"/>
    <w:rsid w:val="009F7940"/>
    <w:rPr>
      <w:rFonts w:eastAsia="Calibri" w:cs="Arial"/>
    </w:rPr>
  </w:style>
  <w:style w:type="character" w:styleId="PlaceholderText">
    <w:name w:val="Placeholder Text"/>
    <w:uiPriority w:val="99"/>
    <w:semiHidden/>
    <w:rsid w:val="009F7940"/>
    <w:rPr>
      <w:color w:val="808080"/>
    </w:rPr>
  </w:style>
  <w:style w:type="paragraph" w:customStyle="1" w:styleId="Recommendationbullets">
    <w:name w:val="Recommendation bullets"/>
    <w:basedOn w:val="Tablebullets"/>
    <w:qFormat/>
    <w:rsid w:val="009F7940"/>
    <w:pPr>
      <w:numPr>
        <w:numId w:val="25"/>
      </w:numPr>
      <w:tabs>
        <w:tab w:val="clear" w:pos="284"/>
        <w:tab w:val="left" w:pos="1134"/>
      </w:tabs>
      <w:spacing w:line="260" w:lineRule="atLeast"/>
    </w:pPr>
  </w:style>
  <w:style w:type="paragraph" w:customStyle="1" w:styleId="Recommendationheading">
    <w:name w:val="Recommendation heading"/>
    <w:basedOn w:val="Tabletextbold"/>
    <w:qFormat/>
    <w:rsid w:val="009F7940"/>
    <w:pPr>
      <w:spacing w:before="60" w:after="60" w:line="260" w:lineRule="atLeast"/>
    </w:pPr>
  </w:style>
  <w:style w:type="paragraph" w:customStyle="1" w:styleId="Recommendationsub-bullets">
    <w:name w:val="Recommendation sub-bullets"/>
    <w:basedOn w:val="Normal"/>
    <w:qFormat/>
    <w:rsid w:val="009F7940"/>
    <w:pPr>
      <w:numPr>
        <w:numId w:val="26"/>
      </w:numPr>
      <w:tabs>
        <w:tab w:val="left" w:pos="1701"/>
      </w:tabs>
      <w:spacing w:before="40" w:after="40" w:line="260" w:lineRule="atLeast"/>
    </w:pPr>
  </w:style>
  <w:style w:type="table" w:customStyle="1" w:styleId="Recommendationtable">
    <w:name w:val="Recommendation table"/>
    <w:basedOn w:val="TableNormal"/>
    <w:uiPriority w:val="99"/>
    <w:qFormat/>
    <w:rsid w:val="009F7940"/>
    <w:tblPr>
      <w:tblBorders>
        <w:top w:val="single" w:sz="36" w:space="0" w:color="FFFFFF"/>
        <w:bottom w:val="single" w:sz="24" w:space="0" w:color="B01717"/>
        <w:insideH w:val="single" w:sz="36" w:space="0" w:color="FFFFFF"/>
        <w:insideV w:val="single" w:sz="36" w:space="0" w:color="FFFFFF"/>
      </w:tblBorders>
    </w:tblPr>
    <w:tcPr>
      <w:shd w:val="pct10" w:color="auto" w:fill="auto"/>
    </w:tcPr>
    <w:tblStylePr w:type="firstRow">
      <w:rPr>
        <w:rFonts w:ascii="Arial" w:hAnsi="Arial"/>
        <w:b w:val="0"/>
        <w:color w:val="auto"/>
        <w:sz w:val="20"/>
      </w:rPr>
      <w:tblPr/>
      <w:tcPr>
        <w:tcBorders>
          <w:top w:val="single" w:sz="24" w:space="0" w:color="B01717"/>
          <w:left w:val="nil"/>
          <w:bottom w:val="single" w:sz="36" w:space="0" w:color="FFFFFF"/>
          <w:right w:val="nil"/>
          <w:insideH w:val="nil"/>
          <w:insideV w:val="single" w:sz="36" w:space="0" w:color="FFFFFF"/>
          <w:tl2br w:val="nil"/>
          <w:tr2bl w:val="nil"/>
        </w:tcBorders>
        <w:shd w:val="pct10" w:color="auto" w:fill="auto"/>
      </w:tcPr>
    </w:tblStylePr>
  </w:style>
  <w:style w:type="paragraph" w:customStyle="1" w:styleId="Recommendationtext">
    <w:name w:val="Recommendation text"/>
    <w:basedOn w:val="Tabletext"/>
    <w:qFormat/>
    <w:rsid w:val="009F7940"/>
    <w:pPr>
      <w:tabs>
        <w:tab w:val="left" w:pos="567"/>
      </w:tabs>
      <w:spacing w:before="60" w:after="60" w:line="260" w:lineRule="atLeast"/>
      <w:ind w:left="567" w:hanging="567"/>
    </w:pPr>
  </w:style>
  <w:style w:type="paragraph" w:customStyle="1" w:styleId="Statusofreporttext">
    <w:name w:val="Status of report text"/>
    <w:basedOn w:val="Normal"/>
    <w:qFormat/>
    <w:rsid w:val="009F7940"/>
    <w:pPr>
      <w:autoSpaceDE w:val="0"/>
      <w:autoSpaceDN w:val="0"/>
      <w:adjustRightInd w:val="0"/>
      <w:spacing w:before="240" w:after="240"/>
      <w:jc w:val="center"/>
    </w:pPr>
    <w:rPr>
      <w:rFonts w:cs="Arial"/>
      <w:sz w:val="22"/>
      <w:szCs w:val="18"/>
    </w:rPr>
  </w:style>
  <w:style w:type="paragraph" w:customStyle="1" w:styleId="Sub-bullets">
    <w:name w:val="Sub-bullets"/>
    <w:basedOn w:val="Normal"/>
    <w:link w:val="Sub-bulletsChar"/>
    <w:qFormat/>
    <w:rsid w:val="009F7940"/>
    <w:pPr>
      <w:numPr>
        <w:numId w:val="27"/>
      </w:numPr>
      <w:tabs>
        <w:tab w:val="left" w:pos="1701"/>
      </w:tabs>
    </w:pPr>
    <w:rPr>
      <w:sz w:val="22"/>
    </w:rPr>
  </w:style>
  <w:style w:type="character" w:customStyle="1" w:styleId="Sub-bulletsChar">
    <w:name w:val="Sub-bullets Char"/>
    <w:link w:val="Sub-bullets"/>
    <w:rsid w:val="009F7940"/>
    <w:rPr>
      <w:rFonts w:eastAsia="Calibri"/>
    </w:rPr>
  </w:style>
  <w:style w:type="table" w:styleId="TableGrid">
    <w:name w:val="Table Grid"/>
    <w:basedOn w:val="TableNormal"/>
    <w:uiPriority w:val="59"/>
    <w:rsid w:val="009F794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link w:val="TableheadingChar"/>
    <w:qFormat/>
    <w:rsid w:val="00DE4324"/>
    <w:pPr>
      <w:spacing w:before="40" w:after="40" w:line="240" w:lineRule="atLeast"/>
    </w:pPr>
    <w:rPr>
      <w:b/>
      <w:color w:val="FFFFFF"/>
      <w:sz w:val="18"/>
      <w:szCs w:val="20"/>
      <w:lang w:eastAsia="en-GB"/>
    </w:rPr>
  </w:style>
  <w:style w:type="character" w:customStyle="1" w:styleId="TableheadingChar">
    <w:name w:val="Table heading Char"/>
    <w:link w:val="Tableheading"/>
    <w:rsid w:val="00DE4324"/>
    <w:rPr>
      <w:rFonts w:eastAsia="Calibri"/>
      <w:b/>
      <w:color w:val="FFFFFF"/>
      <w:sz w:val="18"/>
      <w:szCs w:val="20"/>
      <w:lang w:eastAsia="en-GB"/>
    </w:rPr>
  </w:style>
  <w:style w:type="character" w:styleId="Hyperlink">
    <w:name w:val="Hyperlink"/>
    <w:rsid w:val="006C4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E9C"/>
    <w:pPr>
      <w:spacing w:before="0" w:after="0" w:line="240" w:lineRule="auto"/>
      <w:ind w:left="720"/>
      <w:contextualSpacing/>
    </w:pPr>
    <w:rPr>
      <w:rFonts w:eastAsia="Times New Roman"/>
      <w:sz w:val="22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2C450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4503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rsid w:val="002C45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5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4503"/>
    <w:rPr>
      <w:rFonts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5CCD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55CCD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5CCD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55CCD"/>
    <w:rPr>
      <w:rFonts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B51BD2"/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BE"/>
    <w:pPr>
      <w:spacing w:before="60" w:after="60" w:line="280" w:lineRule="atLeast"/>
    </w:pPr>
    <w:rPr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F7940"/>
    <w:pPr>
      <w:keepNext/>
      <w:spacing w:before="360" w:after="120" w:line="360" w:lineRule="atLeast"/>
      <w:outlineLvl w:val="0"/>
    </w:pPr>
    <w:rPr>
      <w:rFonts w:eastAsia="Times New Roman"/>
      <w:bCs/>
      <w:color w:val="B01717"/>
      <w:kern w:val="32"/>
      <w:sz w:val="36"/>
      <w:szCs w:val="36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F7940"/>
    <w:pPr>
      <w:keepNext/>
      <w:spacing w:before="360" w:after="120" w:line="360" w:lineRule="atLeast"/>
      <w:outlineLvl w:val="1"/>
    </w:pPr>
    <w:rPr>
      <w:rFonts w:eastAsia="Times New Roman"/>
      <w:bCs/>
      <w:iCs/>
      <w:color w:val="B01717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F7940"/>
    <w:pPr>
      <w:keepNext/>
      <w:spacing w:before="360" w:after="120" w:line="300" w:lineRule="atLeast"/>
      <w:outlineLvl w:val="2"/>
    </w:pPr>
    <w:rPr>
      <w:rFonts w:eastAsia="Times New Roman"/>
      <w:bCs/>
      <w:color w:val="B01717"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F7940"/>
    <w:pPr>
      <w:outlineLvl w:val="3"/>
    </w:pPr>
    <w:rPr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40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HeaderChar">
    <w:name w:val="Header Char"/>
    <w:link w:val="Header"/>
    <w:uiPriority w:val="99"/>
    <w:rsid w:val="009F794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7940"/>
  </w:style>
  <w:style w:type="character" w:customStyle="1" w:styleId="FooterChar">
    <w:name w:val="Footer Char"/>
    <w:link w:val="Footer"/>
    <w:uiPriority w:val="99"/>
    <w:rsid w:val="009F7940"/>
    <w:rPr>
      <w:rFonts w:eastAsia="Calibri"/>
      <w:sz w:val="20"/>
    </w:rPr>
  </w:style>
  <w:style w:type="paragraph" w:customStyle="1" w:styleId="Bannerheadingfirstpage">
    <w:name w:val="Banner heading (first page)"/>
    <w:basedOn w:val="Header"/>
    <w:link w:val="BannerheadingfirstpageChar"/>
    <w:rsid w:val="00FB2158"/>
    <w:pPr>
      <w:pBdr>
        <w:bottom w:val="single" w:sz="8" w:space="1" w:color="A6A6A6"/>
      </w:pBdr>
      <w:tabs>
        <w:tab w:val="clear" w:pos="4513"/>
        <w:tab w:val="clear" w:pos="9026"/>
        <w:tab w:val="left" w:pos="2835"/>
      </w:tabs>
      <w:spacing w:before="720" w:after="240"/>
      <w:ind w:left="2835" w:hanging="2835"/>
      <w:jc w:val="center"/>
    </w:pPr>
    <w:rPr>
      <w:color w:val="B01717"/>
      <w:sz w:val="32"/>
    </w:rPr>
  </w:style>
  <w:style w:type="character" w:customStyle="1" w:styleId="BannerheadingfirstpageChar">
    <w:name w:val="Banner heading (first page) Char"/>
    <w:link w:val="Bannerheadingfirstpage"/>
    <w:rsid w:val="00FB2158"/>
    <w:rPr>
      <w:rFonts w:eastAsia="Calibri" w:cs="Times New Roman"/>
      <w:color w:val="B01717"/>
      <w:sz w:val="32"/>
    </w:rPr>
  </w:style>
  <w:style w:type="paragraph" w:customStyle="1" w:styleId="Bannerheadingcontinuationpages">
    <w:name w:val="Banner heading (continuation pages)"/>
    <w:basedOn w:val="Bannerheadingfirstpage"/>
    <w:link w:val="BannerheadingcontinuationpagesChar"/>
    <w:qFormat/>
    <w:rsid w:val="00D44EF5"/>
    <w:pPr>
      <w:spacing w:before="60" w:after="60" w:line="280" w:lineRule="atLeast"/>
      <w:jc w:val="right"/>
    </w:pPr>
  </w:style>
  <w:style w:type="character" w:customStyle="1" w:styleId="BannerheadingcontinuationpagesChar">
    <w:name w:val="Banner heading (continuation pages) Char"/>
    <w:link w:val="Bannerheadingcontinuationpages"/>
    <w:rsid w:val="00D44EF5"/>
    <w:rPr>
      <w:rFonts w:eastAsia="Calibri" w:cs="Times New Roman"/>
      <w:color w:val="B01717"/>
      <w:sz w:val="32"/>
    </w:rPr>
  </w:style>
  <w:style w:type="paragraph" w:customStyle="1" w:styleId="Tablebullets">
    <w:name w:val="Table bullets"/>
    <w:basedOn w:val="Normal"/>
    <w:link w:val="TablebulletsChar"/>
    <w:qFormat/>
    <w:rsid w:val="009F7940"/>
    <w:pPr>
      <w:numPr>
        <w:numId w:val="24"/>
      </w:numPr>
      <w:tabs>
        <w:tab w:val="left" w:pos="284"/>
      </w:tabs>
      <w:spacing w:before="40" w:after="40" w:line="240" w:lineRule="atLeast"/>
    </w:pPr>
  </w:style>
  <w:style w:type="paragraph" w:customStyle="1" w:styleId="Tablesub-bullets">
    <w:name w:val="Table sub-bullets"/>
    <w:basedOn w:val="Normal"/>
    <w:link w:val="Tablesub-bulletsChar"/>
    <w:qFormat/>
    <w:rsid w:val="009F7940"/>
    <w:pPr>
      <w:numPr>
        <w:numId w:val="28"/>
      </w:numPr>
      <w:tabs>
        <w:tab w:val="left" w:pos="567"/>
      </w:tabs>
      <w:spacing w:before="40" w:after="40" w:line="240" w:lineRule="atLeast"/>
    </w:pPr>
    <w:rPr>
      <w:szCs w:val="20"/>
    </w:rPr>
  </w:style>
  <w:style w:type="paragraph" w:customStyle="1" w:styleId="Tabletext">
    <w:name w:val="Table text"/>
    <w:basedOn w:val="Normal"/>
    <w:link w:val="TabletextChar"/>
    <w:qFormat/>
    <w:rsid w:val="009F7940"/>
    <w:pPr>
      <w:spacing w:before="40" w:after="40" w:line="240" w:lineRule="atLeast"/>
    </w:pPr>
  </w:style>
  <w:style w:type="paragraph" w:customStyle="1" w:styleId="Tabletextbold">
    <w:name w:val="Table text bold"/>
    <w:basedOn w:val="Tabletext"/>
    <w:qFormat/>
    <w:rsid w:val="009F7940"/>
    <w:rPr>
      <w:b/>
    </w:rPr>
  </w:style>
  <w:style w:type="character" w:customStyle="1" w:styleId="TabletextChar">
    <w:name w:val="Table text Char"/>
    <w:link w:val="Tabletext"/>
    <w:rsid w:val="009F7940"/>
    <w:rPr>
      <w:rFonts w:eastAsia="Calibri"/>
      <w:sz w:val="20"/>
    </w:rPr>
  </w:style>
  <w:style w:type="character" w:customStyle="1" w:styleId="Tablesub-bulletsChar">
    <w:name w:val="Table sub-bullets Char"/>
    <w:link w:val="Tablesub-bullets"/>
    <w:rsid w:val="009F7940"/>
    <w:rPr>
      <w:rFonts w:eastAsia="Calibri"/>
      <w:sz w:val="20"/>
      <w:szCs w:val="20"/>
    </w:rPr>
  </w:style>
  <w:style w:type="character" w:customStyle="1" w:styleId="TablebulletsChar">
    <w:name w:val="Table bullets Char"/>
    <w:link w:val="Tablebullets"/>
    <w:rsid w:val="009F7940"/>
    <w:rPr>
      <w:rFonts w:eastAsia="Calibri"/>
      <w:sz w:val="20"/>
    </w:rPr>
  </w:style>
  <w:style w:type="table" w:customStyle="1" w:styleId="Adhoctable1">
    <w:name w:val="Ad hoc table 1"/>
    <w:basedOn w:val="TableNormal"/>
    <w:uiPriority w:val="99"/>
    <w:qFormat/>
    <w:rsid w:val="00361F9F"/>
    <w:tblPr>
      <w:tblBorders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  <w:insideH w:val="single" w:sz="36" w:space="0" w:color="FFFFFF"/>
        <w:insideV w:val="single" w:sz="36" w:space="0" w:color="FFFFFF"/>
      </w:tblBorders>
    </w:tblPr>
    <w:tcPr>
      <w:shd w:val="pct10" w:color="auto" w:fill="auto"/>
    </w:tcPr>
    <w:tblStylePr w:type="firstRow">
      <w:rPr>
        <w:rFonts w:ascii="Arial" w:hAnsi="Arial"/>
        <w:b w:val="0"/>
        <w:color w:val="auto"/>
        <w:sz w:val="20"/>
      </w:rPr>
      <w:tblPr/>
      <w:tcPr>
        <w:shd w:val="clear" w:color="auto" w:fill="B01717"/>
      </w:tcPr>
    </w:tblStylePr>
  </w:style>
  <w:style w:type="table" w:customStyle="1" w:styleId="Adhoctable2">
    <w:name w:val="Ad hoc table 2"/>
    <w:basedOn w:val="TableNormal"/>
    <w:uiPriority w:val="99"/>
    <w:qFormat/>
    <w:rsid w:val="009F7940"/>
    <w:tblPr>
      <w:tblBorders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  <w:insideH w:val="single" w:sz="36" w:space="0" w:color="FFFFFF"/>
        <w:insideV w:val="single" w:sz="36" w:space="0" w:color="FFFFFF"/>
      </w:tblBorders>
    </w:tblPr>
    <w:tcPr>
      <w:shd w:val="pct10" w:color="auto" w:fill="auto"/>
    </w:tcPr>
    <w:tblStylePr w:type="firstRow">
      <w:rPr>
        <w:rFonts w:ascii="Arial" w:hAnsi="Arial"/>
        <w:b w:val="0"/>
        <w:color w:val="auto"/>
        <w:sz w:val="20"/>
      </w:rPr>
      <w:tblPr/>
      <w:tcPr>
        <w:shd w:val="clear" w:color="auto" w:fill="B01717"/>
      </w:tcPr>
    </w:tblStylePr>
    <w:tblStylePr w:type="firstCol">
      <w:rPr>
        <w:rFonts w:ascii="Arial" w:hAnsi="Arial"/>
        <w:b w:val="0"/>
        <w:color w:val="000000"/>
        <w:sz w:val="20"/>
      </w:rPr>
      <w:tblPr/>
      <w:tcPr>
        <w:tc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nil"/>
          <w:insideV w:val="nil"/>
          <w:tl2br w:val="nil"/>
          <w:tr2bl w:val="nil"/>
        </w:tcBorders>
        <w:shd w:val="pct20" w:color="auto" w:fill="auto"/>
      </w:tcPr>
    </w:tblStylePr>
  </w:style>
  <w:style w:type="paragraph" w:customStyle="1" w:styleId="APrecommendationbullets">
    <w:name w:val="AP recommendation bullets"/>
    <w:basedOn w:val="Normal"/>
    <w:qFormat/>
    <w:rsid w:val="009F7940"/>
    <w:pPr>
      <w:numPr>
        <w:numId w:val="18"/>
      </w:numPr>
      <w:tabs>
        <w:tab w:val="left" w:pos="737"/>
      </w:tabs>
      <w:spacing w:before="40" w:after="40" w:line="240" w:lineRule="atLeast"/>
    </w:pPr>
    <w:rPr>
      <w:rFonts w:cs="Arial"/>
    </w:rPr>
  </w:style>
  <w:style w:type="paragraph" w:customStyle="1" w:styleId="APrecommendationsub-bullets">
    <w:name w:val="AP recommendation sub-bullets"/>
    <w:basedOn w:val="Normal"/>
    <w:qFormat/>
    <w:rsid w:val="009F7940"/>
    <w:pPr>
      <w:numPr>
        <w:numId w:val="19"/>
      </w:numPr>
      <w:tabs>
        <w:tab w:val="left" w:pos="1021"/>
      </w:tabs>
      <w:spacing w:before="40" w:after="40" w:line="240" w:lineRule="atLeast"/>
    </w:pPr>
  </w:style>
  <w:style w:type="paragraph" w:customStyle="1" w:styleId="APrecommendationtext">
    <w:name w:val="AP recommendation text"/>
    <w:basedOn w:val="Tabletext"/>
    <w:qFormat/>
    <w:rsid w:val="009F7940"/>
    <w:pPr>
      <w:tabs>
        <w:tab w:val="left" w:pos="454"/>
      </w:tabs>
      <w:ind w:left="454" w:hanging="454"/>
    </w:pPr>
  </w:style>
  <w:style w:type="paragraph" w:customStyle="1" w:styleId="Appendixbullets">
    <w:name w:val="Appendix bullets"/>
    <w:basedOn w:val="Normal"/>
    <w:qFormat/>
    <w:rsid w:val="009F7940"/>
    <w:pPr>
      <w:numPr>
        <w:numId w:val="20"/>
      </w:numPr>
      <w:tabs>
        <w:tab w:val="left" w:pos="567"/>
      </w:tabs>
    </w:pPr>
    <w:rPr>
      <w:sz w:val="22"/>
    </w:rPr>
  </w:style>
  <w:style w:type="paragraph" w:customStyle="1" w:styleId="Appendixsub-bullets">
    <w:name w:val="Appendix sub-bullets"/>
    <w:basedOn w:val="Normal"/>
    <w:qFormat/>
    <w:rsid w:val="009F7940"/>
    <w:pPr>
      <w:numPr>
        <w:numId w:val="21"/>
      </w:numPr>
      <w:tabs>
        <w:tab w:val="left" w:pos="1134"/>
      </w:tabs>
    </w:pPr>
    <w:rPr>
      <w:sz w:val="22"/>
    </w:rPr>
  </w:style>
  <w:style w:type="paragraph" w:customStyle="1" w:styleId="Auditteamtext">
    <w:name w:val="Audit team text"/>
    <w:basedOn w:val="Normal"/>
    <w:qFormat/>
    <w:rsid w:val="009F7940"/>
    <w:pPr>
      <w:spacing w:before="1080"/>
      <w:jc w:val="center"/>
    </w:pPr>
    <w:rPr>
      <w:rFonts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940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link w:val="BulletsChar"/>
    <w:qFormat/>
    <w:rsid w:val="009F7940"/>
    <w:pPr>
      <w:numPr>
        <w:numId w:val="22"/>
      </w:numPr>
      <w:tabs>
        <w:tab w:val="left" w:pos="1134"/>
      </w:tabs>
    </w:pPr>
    <w:rPr>
      <w:sz w:val="22"/>
    </w:rPr>
  </w:style>
  <w:style w:type="character" w:customStyle="1" w:styleId="BulletsChar">
    <w:name w:val="Bullets Char"/>
    <w:link w:val="Bullets"/>
    <w:rsid w:val="009F7940"/>
    <w:rPr>
      <w:rFonts w:eastAsia="Calibri"/>
    </w:rPr>
  </w:style>
  <w:style w:type="paragraph" w:customStyle="1" w:styleId="Contentsheading">
    <w:name w:val="Contents heading"/>
    <w:basedOn w:val="Normal"/>
    <w:link w:val="ContentsheadingChar"/>
    <w:qFormat/>
    <w:rsid w:val="009F7940"/>
    <w:pPr>
      <w:spacing w:before="120" w:after="120"/>
    </w:pPr>
    <w:rPr>
      <w:b/>
      <w:color w:val="B02020"/>
      <w:sz w:val="22"/>
    </w:rPr>
  </w:style>
  <w:style w:type="character" w:customStyle="1" w:styleId="ContentsheadingChar">
    <w:name w:val="Contents heading Char"/>
    <w:link w:val="Contentsheading"/>
    <w:rsid w:val="009F7940"/>
    <w:rPr>
      <w:rFonts w:eastAsia="Calibri"/>
      <w:b/>
      <w:color w:val="B02020"/>
    </w:rPr>
  </w:style>
  <w:style w:type="paragraph" w:customStyle="1" w:styleId="Contentsheading1">
    <w:name w:val="Contents heading 1"/>
    <w:basedOn w:val="Normal"/>
    <w:link w:val="Contentsheading1Char"/>
    <w:qFormat/>
    <w:rsid w:val="009F7940"/>
    <w:pPr>
      <w:spacing w:before="120" w:after="120"/>
    </w:pPr>
    <w:rPr>
      <w:sz w:val="22"/>
    </w:rPr>
  </w:style>
  <w:style w:type="character" w:customStyle="1" w:styleId="Contentsheading1Char">
    <w:name w:val="Contents heading 1 Char"/>
    <w:link w:val="Contentsheading1"/>
    <w:rsid w:val="009F7940"/>
    <w:rPr>
      <w:rFonts w:eastAsia="Calibri"/>
    </w:rPr>
  </w:style>
  <w:style w:type="paragraph" w:customStyle="1" w:styleId="Contentsheading2">
    <w:name w:val="Contents heading 2"/>
    <w:basedOn w:val="Normal"/>
    <w:qFormat/>
    <w:rsid w:val="009F7940"/>
    <w:pPr>
      <w:spacing w:before="120" w:after="120"/>
      <w:ind w:left="567"/>
    </w:pPr>
    <w:rPr>
      <w:sz w:val="22"/>
    </w:rPr>
  </w:style>
  <w:style w:type="paragraph" w:customStyle="1" w:styleId="Contentssectionheading">
    <w:name w:val="Contents section heading"/>
    <w:basedOn w:val="Normal"/>
    <w:link w:val="ContentssectionheadingChar"/>
    <w:qFormat/>
    <w:rsid w:val="009F7940"/>
    <w:pPr>
      <w:spacing w:before="120" w:after="120"/>
    </w:pPr>
    <w:rPr>
      <w:color w:val="B01717"/>
      <w:sz w:val="22"/>
    </w:rPr>
  </w:style>
  <w:style w:type="character" w:customStyle="1" w:styleId="ContentssectionheadingChar">
    <w:name w:val="Contents section heading Char"/>
    <w:link w:val="Contentssectionheading"/>
    <w:rsid w:val="009F7940"/>
    <w:rPr>
      <w:rFonts w:eastAsia="Calibri"/>
      <w:color w:val="B01717"/>
    </w:rPr>
  </w:style>
  <w:style w:type="paragraph" w:customStyle="1" w:styleId="Exhibitheading">
    <w:name w:val="Exhibit heading"/>
    <w:basedOn w:val="Normal"/>
    <w:next w:val="Normal"/>
    <w:link w:val="ExhibitheadingChar"/>
    <w:qFormat/>
    <w:rsid w:val="009F7940"/>
    <w:pPr>
      <w:spacing w:before="360" w:after="120" w:line="300" w:lineRule="atLeast"/>
      <w:ind w:left="567"/>
    </w:pPr>
    <w:rPr>
      <w:color w:val="B01717"/>
      <w:sz w:val="22"/>
    </w:rPr>
  </w:style>
  <w:style w:type="character" w:customStyle="1" w:styleId="ExhibitheadingChar">
    <w:name w:val="Exhibit heading Char"/>
    <w:link w:val="Exhibitheading"/>
    <w:rsid w:val="009F7940"/>
    <w:rPr>
      <w:rFonts w:eastAsia="Calibri"/>
      <w:color w:val="B01717"/>
    </w:rPr>
  </w:style>
  <w:style w:type="paragraph" w:customStyle="1" w:styleId="Exhibitsource">
    <w:name w:val="Exhibit source"/>
    <w:basedOn w:val="Normal"/>
    <w:link w:val="ExhibitsourceChar"/>
    <w:qFormat/>
    <w:rsid w:val="009F7940"/>
    <w:pPr>
      <w:spacing w:before="120" w:after="120"/>
      <w:ind w:left="567"/>
    </w:pPr>
    <w:rPr>
      <w:i/>
      <w:sz w:val="22"/>
    </w:rPr>
  </w:style>
  <w:style w:type="character" w:customStyle="1" w:styleId="ExhibitsourceChar">
    <w:name w:val="Exhibit source Char"/>
    <w:link w:val="Exhibitsource"/>
    <w:rsid w:val="009F7940"/>
    <w:rPr>
      <w:rFonts w:eastAsia="Calibri"/>
      <w:i/>
    </w:rPr>
  </w:style>
  <w:style w:type="paragraph" w:customStyle="1" w:styleId="Exhibittext">
    <w:name w:val="Exhibit text"/>
    <w:basedOn w:val="Normal"/>
    <w:qFormat/>
    <w:rsid w:val="009F7940"/>
    <w:pPr>
      <w:spacing w:after="120"/>
      <w:ind w:left="567"/>
    </w:pPr>
    <w:rPr>
      <w:sz w:val="22"/>
    </w:rPr>
  </w:style>
  <w:style w:type="character" w:customStyle="1" w:styleId="Heading1Char">
    <w:name w:val="Heading 1 Char"/>
    <w:link w:val="Heading1"/>
    <w:uiPriority w:val="9"/>
    <w:rsid w:val="009F7940"/>
    <w:rPr>
      <w:rFonts w:eastAsia="Times New Roman"/>
      <w:bCs/>
      <w:color w:val="B01717"/>
      <w:kern w:val="32"/>
      <w:sz w:val="36"/>
      <w:szCs w:val="36"/>
    </w:rPr>
  </w:style>
  <w:style w:type="character" w:customStyle="1" w:styleId="Heading2Char">
    <w:name w:val="Heading 2 Char"/>
    <w:link w:val="Heading2"/>
    <w:uiPriority w:val="9"/>
    <w:rsid w:val="009F7940"/>
    <w:rPr>
      <w:rFonts w:eastAsia="Times New Roman"/>
      <w:bCs/>
      <w:iCs/>
      <w:color w:val="B01717"/>
      <w:sz w:val="28"/>
      <w:szCs w:val="28"/>
    </w:rPr>
  </w:style>
  <w:style w:type="character" w:customStyle="1" w:styleId="Heading3Char">
    <w:name w:val="Heading 3 Char"/>
    <w:link w:val="Heading3"/>
    <w:uiPriority w:val="9"/>
    <w:rsid w:val="009F7940"/>
    <w:rPr>
      <w:rFonts w:eastAsia="Times New Roman"/>
      <w:bCs/>
      <w:color w:val="B01717"/>
    </w:rPr>
  </w:style>
  <w:style w:type="character" w:customStyle="1" w:styleId="Heading4Char">
    <w:name w:val="Heading 4 Char"/>
    <w:link w:val="Heading4"/>
    <w:uiPriority w:val="9"/>
    <w:rsid w:val="009F7940"/>
    <w:rPr>
      <w:rFonts w:eastAsia="Times New Roman"/>
      <w:b/>
      <w:bCs/>
    </w:rPr>
  </w:style>
  <w:style w:type="table" w:customStyle="1" w:styleId="Localreporttable1">
    <w:name w:val="Local report table 1"/>
    <w:basedOn w:val="TableNormal"/>
    <w:uiPriority w:val="99"/>
    <w:qFormat/>
    <w:rsid w:val="009F7940"/>
    <w:tblPr>
      <w:tblBorders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  <w:insideH w:val="single" w:sz="36" w:space="0" w:color="FFFFFF"/>
        <w:insideV w:val="single" w:sz="36" w:space="0" w:color="FFFFFF"/>
      </w:tblBorders>
    </w:tblPr>
    <w:tcPr>
      <w:shd w:val="pct10" w:color="auto" w:fill="auto"/>
    </w:tcPr>
    <w:tblStylePr w:type="firstRow">
      <w:rPr>
        <w:rFonts w:ascii="Arial" w:hAnsi="Arial"/>
        <w:b w:val="0"/>
        <w:color w:val="auto"/>
        <w:sz w:val="20"/>
      </w:rPr>
      <w:tblPr/>
      <w:tcPr>
        <w:shd w:val="clear" w:color="auto" w:fill="B01717"/>
      </w:tcPr>
    </w:tblStylePr>
  </w:style>
  <w:style w:type="paragraph" w:customStyle="1" w:styleId="Numberedtext">
    <w:name w:val="Numbered text"/>
    <w:basedOn w:val="Normal"/>
    <w:link w:val="NumberedtextChar"/>
    <w:qFormat/>
    <w:rsid w:val="009F7940"/>
    <w:pPr>
      <w:numPr>
        <w:numId w:val="23"/>
      </w:numPr>
    </w:pPr>
    <w:rPr>
      <w:rFonts w:cs="Arial"/>
      <w:sz w:val="22"/>
    </w:rPr>
  </w:style>
  <w:style w:type="character" w:customStyle="1" w:styleId="NumberedtextChar">
    <w:name w:val="Numbered text Char"/>
    <w:link w:val="Numberedtext"/>
    <w:rsid w:val="009F7940"/>
    <w:rPr>
      <w:rFonts w:eastAsia="Calibri" w:cs="Arial"/>
    </w:rPr>
  </w:style>
  <w:style w:type="character" w:styleId="PlaceholderText">
    <w:name w:val="Placeholder Text"/>
    <w:uiPriority w:val="99"/>
    <w:semiHidden/>
    <w:rsid w:val="009F7940"/>
    <w:rPr>
      <w:color w:val="808080"/>
    </w:rPr>
  </w:style>
  <w:style w:type="paragraph" w:customStyle="1" w:styleId="Recommendationbullets">
    <w:name w:val="Recommendation bullets"/>
    <w:basedOn w:val="Tablebullets"/>
    <w:qFormat/>
    <w:rsid w:val="009F7940"/>
    <w:pPr>
      <w:numPr>
        <w:numId w:val="25"/>
      </w:numPr>
      <w:tabs>
        <w:tab w:val="clear" w:pos="284"/>
        <w:tab w:val="left" w:pos="1134"/>
      </w:tabs>
      <w:spacing w:line="260" w:lineRule="atLeast"/>
    </w:pPr>
  </w:style>
  <w:style w:type="paragraph" w:customStyle="1" w:styleId="Recommendationheading">
    <w:name w:val="Recommendation heading"/>
    <w:basedOn w:val="Tabletextbold"/>
    <w:qFormat/>
    <w:rsid w:val="009F7940"/>
    <w:pPr>
      <w:spacing w:before="60" w:after="60" w:line="260" w:lineRule="atLeast"/>
    </w:pPr>
  </w:style>
  <w:style w:type="paragraph" w:customStyle="1" w:styleId="Recommendationsub-bullets">
    <w:name w:val="Recommendation sub-bullets"/>
    <w:basedOn w:val="Normal"/>
    <w:qFormat/>
    <w:rsid w:val="009F7940"/>
    <w:pPr>
      <w:numPr>
        <w:numId w:val="26"/>
      </w:numPr>
      <w:tabs>
        <w:tab w:val="left" w:pos="1701"/>
      </w:tabs>
      <w:spacing w:before="40" w:after="40" w:line="260" w:lineRule="atLeast"/>
    </w:pPr>
  </w:style>
  <w:style w:type="table" w:customStyle="1" w:styleId="Recommendationtable">
    <w:name w:val="Recommendation table"/>
    <w:basedOn w:val="TableNormal"/>
    <w:uiPriority w:val="99"/>
    <w:qFormat/>
    <w:rsid w:val="009F7940"/>
    <w:tblPr>
      <w:tblBorders>
        <w:top w:val="single" w:sz="36" w:space="0" w:color="FFFFFF"/>
        <w:bottom w:val="single" w:sz="24" w:space="0" w:color="B01717"/>
        <w:insideH w:val="single" w:sz="36" w:space="0" w:color="FFFFFF"/>
        <w:insideV w:val="single" w:sz="36" w:space="0" w:color="FFFFFF"/>
      </w:tblBorders>
    </w:tblPr>
    <w:tcPr>
      <w:shd w:val="pct10" w:color="auto" w:fill="auto"/>
    </w:tcPr>
    <w:tblStylePr w:type="firstRow">
      <w:rPr>
        <w:rFonts w:ascii="Arial" w:hAnsi="Arial"/>
        <w:b w:val="0"/>
        <w:color w:val="auto"/>
        <w:sz w:val="20"/>
      </w:rPr>
      <w:tblPr/>
      <w:tcPr>
        <w:tcBorders>
          <w:top w:val="single" w:sz="24" w:space="0" w:color="B01717"/>
          <w:left w:val="nil"/>
          <w:bottom w:val="single" w:sz="36" w:space="0" w:color="FFFFFF"/>
          <w:right w:val="nil"/>
          <w:insideH w:val="nil"/>
          <w:insideV w:val="single" w:sz="36" w:space="0" w:color="FFFFFF"/>
          <w:tl2br w:val="nil"/>
          <w:tr2bl w:val="nil"/>
        </w:tcBorders>
        <w:shd w:val="pct10" w:color="auto" w:fill="auto"/>
      </w:tcPr>
    </w:tblStylePr>
  </w:style>
  <w:style w:type="paragraph" w:customStyle="1" w:styleId="Recommendationtext">
    <w:name w:val="Recommendation text"/>
    <w:basedOn w:val="Tabletext"/>
    <w:qFormat/>
    <w:rsid w:val="009F7940"/>
    <w:pPr>
      <w:tabs>
        <w:tab w:val="left" w:pos="567"/>
      </w:tabs>
      <w:spacing w:before="60" w:after="60" w:line="260" w:lineRule="atLeast"/>
      <w:ind w:left="567" w:hanging="567"/>
    </w:pPr>
  </w:style>
  <w:style w:type="paragraph" w:customStyle="1" w:styleId="Statusofreporttext">
    <w:name w:val="Status of report text"/>
    <w:basedOn w:val="Normal"/>
    <w:qFormat/>
    <w:rsid w:val="009F7940"/>
    <w:pPr>
      <w:autoSpaceDE w:val="0"/>
      <w:autoSpaceDN w:val="0"/>
      <w:adjustRightInd w:val="0"/>
      <w:spacing w:before="240" w:after="240"/>
      <w:jc w:val="center"/>
    </w:pPr>
    <w:rPr>
      <w:rFonts w:cs="Arial"/>
      <w:sz w:val="22"/>
      <w:szCs w:val="18"/>
    </w:rPr>
  </w:style>
  <w:style w:type="paragraph" w:customStyle="1" w:styleId="Sub-bullets">
    <w:name w:val="Sub-bullets"/>
    <w:basedOn w:val="Normal"/>
    <w:link w:val="Sub-bulletsChar"/>
    <w:qFormat/>
    <w:rsid w:val="009F7940"/>
    <w:pPr>
      <w:numPr>
        <w:numId w:val="27"/>
      </w:numPr>
      <w:tabs>
        <w:tab w:val="left" w:pos="1701"/>
      </w:tabs>
    </w:pPr>
    <w:rPr>
      <w:sz w:val="22"/>
    </w:rPr>
  </w:style>
  <w:style w:type="character" w:customStyle="1" w:styleId="Sub-bulletsChar">
    <w:name w:val="Sub-bullets Char"/>
    <w:link w:val="Sub-bullets"/>
    <w:rsid w:val="009F7940"/>
    <w:rPr>
      <w:rFonts w:eastAsia="Calibri"/>
    </w:rPr>
  </w:style>
  <w:style w:type="table" w:styleId="TableGrid">
    <w:name w:val="Table Grid"/>
    <w:basedOn w:val="TableNormal"/>
    <w:uiPriority w:val="59"/>
    <w:rsid w:val="009F794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link w:val="TableheadingChar"/>
    <w:qFormat/>
    <w:rsid w:val="00DE4324"/>
    <w:pPr>
      <w:spacing w:before="40" w:after="40" w:line="240" w:lineRule="atLeast"/>
    </w:pPr>
    <w:rPr>
      <w:b/>
      <w:color w:val="FFFFFF"/>
      <w:sz w:val="18"/>
      <w:szCs w:val="20"/>
      <w:lang w:eastAsia="en-GB"/>
    </w:rPr>
  </w:style>
  <w:style w:type="character" w:customStyle="1" w:styleId="TableheadingChar">
    <w:name w:val="Table heading Char"/>
    <w:link w:val="Tableheading"/>
    <w:rsid w:val="00DE4324"/>
    <w:rPr>
      <w:rFonts w:eastAsia="Calibri"/>
      <w:b/>
      <w:color w:val="FFFFFF"/>
      <w:sz w:val="18"/>
      <w:szCs w:val="20"/>
      <w:lang w:eastAsia="en-GB"/>
    </w:rPr>
  </w:style>
  <w:style w:type="character" w:styleId="Hyperlink">
    <w:name w:val="Hyperlink"/>
    <w:rsid w:val="006C4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E9C"/>
    <w:pPr>
      <w:spacing w:before="0" w:after="0" w:line="240" w:lineRule="auto"/>
      <w:ind w:left="720"/>
      <w:contextualSpacing/>
    </w:pPr>
    <w:rPr>
      <w:rFonts w:eastAsia="Times New Roman"/>
      <w:sz w:val="22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2C450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4503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rsid w:val="002C45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5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4503"/>
    <w:rPr>
      <w:rFonts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5CCD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55CCD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5CCD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55CCD"/>
    <w:rPr>
      <w:rFonts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B51BD2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fontTable" Target="fontTable.xml"/><Relationship Id="rId197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198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-evans\AppData\Local\Microsoft\Windows\Temporary%20Internet%20Files\Content.Outlook\HVD8626O\Annual_Return_2016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6ABD445518A43B3AC9E2170FDF38C" ma:contentTypeVersion="10" ma:contentTypeDescription="Create a new document." ma:contentTypeScope="" ma:versionID="b07d6c5a263f2aa14590eac0eaeb1929">
  <xsd:schema xmlns:xsd="http://www.w3.org/2001/XMLSchema" xmlns:xs="http://www.w3.org/2001/XMLSchema" xmlns:p="http://schemas.microsoft.com/office/2006/metadata/properties" xmlns:ns2="4530b401-02f1-4e72-a7f4-254a04188f7c" targetNamespace="http://schemas.microsoft.com/office/2006/metadata/properties" ma:root="true" ma:fieldsID="6c364588cce8f1578fc181b940755971" ns2:_="">
    <xsd:import namespace="4530b401-02f1-4e72-a7f4-254a04188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b401-02f1-4e72-a7f4-254a0418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E7AE1-0DC4-4D5A-AA3D-1C770B404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b401-02f1-4e72-a7f4-254a0418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BC081-208A-40CA-B202-3E690401F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0D912-8DAA-4549-B981-D8292276ED1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530b401-02f1-4e72-a7f4-254a04188f7c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Annual_Return_2016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WAO</Company>
  <LinksUpToDate>false</LinksUpToDate>
  <CharactersWithSpaces>3144</CharactersWithSpaces>
  <SharedDoc>false</SharedDoc>
  <HLinks>
    <vt:vector size="6" baseType="variant">
      <vt:variant>
        <vt:i4>65621</vt:i4>
      </vt:variant>
      <vt:variant>
        <vt:i4>537</vt:i4>
      </vt:variant>
      <vt:variant>
        <vt:i4>0</vt:i4>
      </vt:variant>
      <vt:variant>
        <vt:i4>5</vt:i4>
      </vt:variant>
      <vt:variant>
        <vt:lpwstr>http://www.audit.wales/good-practice/finance/community-council-money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Perfect</dc:creator>
  <cp:keywords>Interim; ad hoc</cp:keywords>
  <cp:lastModifiedBy>Llanfoist Fawr</cp:lastModifiedBy>
  <cp:revision>2</cp:revision>
  <cp:lastPrinted>2020-04-20T15:41:00Z</cp:lastPrinted>
  <dcterms:created xsi:type="dcterms:W3CDTF">2021-08-05T17:04:00Z</dcterms:created>
  <dcterms:modified xsi:type="dcterms:W3CDTF">2021-08-05T17:04:00Z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0x010100AA56ABD445518A43B3AC9E2170FDF38C</vt:lpwstr>
  </property>
</Properties>
</file>